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207" w:rsidRDefault="00947207" w:rsidP="00026B45">
      <w:pPr>
        <w:pStyle w:val="Heading5"/>
        <w:jc w:val="center"/>
        <w:rPr>
          <w:rFonts w:ascii="Verdana" w:hAnsi="Verdana"/>
          <w:sz w:val="28"/>
          <w:szCs w:val="26"/>
        </w:rPr>
      </w:pPr>
    </w:p>
    <w:p w:rsidR="00026B45" w:rsidRDefault="00947207" w:rsidP="00026B45">
      <w:pPr>
        <w:pStyle w:val="Heading5"/>
        <w:jc w:val="center"/>
        <w:rPr>
          <w:rFonts w:ascii="Verdana" w:hAnsi="Verdana"/>
          <w:sz w:val="28"/>
          <w:szCs w:val="26"/>
        </w:rPr>
      </w:pPr>
      <w:r>
        <w:rPr>
          <w:rFonts w:ascii="Verdana" w:hAnsi="Verdana"/>
          <w:noProof/>
          <w:sz w:val="28"/>
          <w:szCs w:val="26"/>
        </w:rPr>
        <w:drawing>
          <wp:inline distT="0" distB="0" distL="0" distR="0">
            <wp:extent cx="5523865" cy="1057275"/>
            <wp:effectExtent l="0" t="0" r="635"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3865" cy="1057275"/>
                    </a:xfrm>
                    <a:prstGeom prst="rect">
                      <a:avLst/>
                    </a:prstGeom>
                    <a:noFill/>
                  </pic:spPr>
                </pic:pic>
              </a:graphicData>
            </a:graphic>
          </wp:inline>
        </w:drawing>
      </w:r>
    </w:p>
    <w:p w:rsidR="00CD4149" w:rsidRDefault="00CD4149" w:rsidP="00026B45">
      <w:pPr>
        <w:pStyle w:val="Heading5"/>
        <w:jc w:val="center"/>
        <w:rPr>
          <w:rFonts w:ascii="Verdana" w:hAnsi="Verdana"/>
          <w:sz w:val="28"/>
          <w:szCs w:val="26"/>
        </w:rPr>
      </w:pPr>
    </w:p>
    <w:p w:rsidR="00026B45" w:rsidRPr="00026B45" w:rsidRDefault="00026B45" w:rsidP="00026B45">
      <w:pPr>
        <w:pStyle w:val="Heading5"/>
        <w:jc w:val="center"/>
        <w:rPr>
          <w:rFonts w:ascii="Verdana" w:hAnsi="Verdana"/>
          <w:sz w:val="28"/>
          <w:szCs w:val="26"/>
        </w:rPr>
      </w:pPr>
      <w:r w:rsidRPr="00EA7066">
        <w:rPr>
          <w:rFonts w:ascii="Verdana" w:hAnsi="Verdana"/>
          <w:sz w:val="28"/>
          <w:szCs w:val="26"/>
        </w:rPr>
        <w:t>NEIGHBOURHOOD ACTION STRATEGY</w:t>
      </w:r>
      <w:r>
        <w:rPr>
          <w:rFonts w:ascii="Verdana" w:hAnsi="Verdana"/>
          <w:sz w:val="28"/>
          <w:szCs w:val="26"/>
        </w:rPr>
        <w:t xml:space="preserve"> </w:t>
      </w:r>
      <w:r>
        <w:rPr>
          <w:rFonts w:ascii="Verdana" w:hAnsi="Verdana"/>
          <w:sz w:val="28"/>
          <w:szCs w:val="26"/>
        </w:rPr>
        <w:br/>
        <w:t>SMALL</w:t>
      </w:r>
      <w:r w:rsidRPr="00EA7066">
        <w:rPr>
          <w:rFonts w:ascii="Verdana" w:hAnsi="Verdana"/>
          <w:sz w:val="28"/>
          <w:szCs w:val="26"/>
        </w:rPr>
        <w:t xml:space="preserve"> </w:t>
      </w:r>
      <w:r>
        <w:rPr>
          <w:rFonts w:ascii="Verdana" w:hAnsi="Verdana"/>
          <w:sz w:val="28"/>
          <w:szCs w:val="26"/>
        </w:rPr>
        <w:t>GRANTS PROGRAM</w:t>
      </w:r>
    </w:p>
    <w:p w:rsidR="00026B45" w:rsidRDefault="00026B45" w:rsidP="00026B45">
      <w:pPr>
        <w:pStyle w:val="Heading5"/>
        <w:jc w:val="center"/>
        <w:rPr>
          <w:rFonts w:ascii="Verdana" w:hAnsi="Verdana"/>
          <w:sz w:val="28"/>
          <w:szCs w:val="26"/>
        </w:rPr>
      </w:pPr>
      <w:r>
        <w:rPr>
          <w:rFonts w:ascii="Verdana" w:hAnsi="Verdana"/>
          <w:sz w:val="28"/>
          <w:szCs w:val="26"/>
        </w:rPr>
        <w:t>FREQUENTLY ASKED QUESTIONS FOR FISCAL SPONSORS</w:t>
      </w:r>
    </w:p>
    <w:p w:rsidR="00026B45" w:rsidRDefault="00026B45" w:rsidP="00026B45"/>
    <w:p w:rsidR="00772601" w:rsidRDefault="00772601" w:rsidP="00026B45"/>
    <w:p w:rsidR="00026B45" w:rsidRDefault="00026B45" w:rsidP="007631A7">
      <w:pPr>
        <w:pStyle w:val="NormalWeb"/>
        <w:spacing w:before="0" w:beforeAutospacing="0" w:after="0" w:afterAutospacing="0"/>
        <w:rPr>
          <w:rFonts w:ascii="Verdana" w:hAnsi="Verdana"/>
          <w:sz w:val="22"/>
        </w:rPr>
      </w:pPr>
      <w:r w:rsidRPr="00772601">
        <w:rPr>
          <w:rFonts w:ascii="Verdana" w:hAnsi="Verdana"/>
          <w:color w:val="000000"/>
          <w:sz w:val="22"/>
        </w:rPr>
        <w:t xml:space="preserve">Through its partnership with the Hamilton Community Foundation (HCF) and the City of Hamilton, the Neighbourhood Action Strategy offers residents in the 11 NAS neighbourhoods (Beasley, Crown Point, Davis Creek, GALA, Jamesville, Keith, </w:t>
      </w:r>
      <w:proofErr w:type="spellStart"/>
      <w:r w:rsidRPr="00772601">
        <w:rPr>
          <w:rFonts w:ascii="Verdana" w:hAnsi="Verdana"/>
          <w:color w:val="000000"/>
          <w:sz w:val="22"/>
        </w:rPr>
        <w:t>McQuesten</w:t>
      </w:r>
      <w:proofErr w:type="spellEnd"/>
      <w:r w:rsidRPr="00772601">
        <w:rPr>
          <w:rFonts w:ascii="Verdana" w:hAnsi="Verdana"/>
          <w:color w:val="000000"/>
          <w:sz w:val="22"/>
        </w:rPr>
        <w:t xml:space="preserve">, Sherman, Stinson, Riverdale, and Rolston) the opportunity to apply for a small grant to support a project or event in their neighbourhood. Each neighbourhood receives $5,000 a year to support projects and events. Small grants can range from $500 to $1,500 per project or event. For more information about the small grants application and process, please visit: </w:t>
      </w:r>
      <w:hyperlink r:id="rId9" w:history="1">
        <w:r w:rsidR="007631A7" w:rsidRPr="00414149">
          <w:rPr>
            <w:rStyle w:val="Hyperlink"/>
            <w:rFonts w:ascii="Verdana" w:hAnsi="Verdana"/>
            <w:sz w:val="22"/>
          </w:rPr>
          <w:t>www.hamiltoncommunityfoundation.ca/NAS</w:t>
        </w:r>
      </w:hyperlink>
      <w:r w:rsidR="007631A7">
        <w:rPr>
          <w:rFonts w:ascii="Verdana" w:hAnsi="Verdana"/>
          <w:sz w:val="22"/>
        </w:rPr>
        <w:t xml:space="preserve"> </w:t>
      </w:r>
    </w:p>
    <w:p w:rsidR="007631A7" w:rsidRPr="00772601" w:rsidRDefault="007631A7" w:rsidP="007631A7">
      <w:pPr>
        <w:pStyle w:val="NormalWeb"/>
        <w:spacing w:before="0" w:beforeAutospacing="0" w:after="0" w:afterAutospacing="0"/>
        <w:rPr>
          <w:rFonts w:ascii="Verdana" w:hAnsi="Verdana"/>
          <w:sz w:val="22"/>
        </w:rPr>
      </w:pPr>
    </w:p>
    <w:p w:rsidR="00026B45" w:rsidRPr="00772601" w:rsidRDefault="00026B45" w:rsidP="00026B45">
      <w:pPr>
        <w:pStyle w:val="NormalWeb"/>
        <w:spacing w:before="0" w:beforeAutospacing="0" w:after="0" w:afterAutospacing="0"/>
        <w:rPr>
          <w:rFonts w:ascii="Verdana" w:hAnsi="Verdana"/>
          <w:sz w:val="22"/>
        </w:rPr>
      </w:pPr>
      <w:r w:rsidRPr="00772601">
        <w:rPr>
          <w:rFonts w:ascii="Verdana" w:hAnsi="Verdana"/>
          <w:color w:val="000000"/>
          <w:sz w:val="22"/>
        </w:rPr>
        <w:t xml:space="preserve">Your organization may have been approached to act as a fiscal sponsor for a neighbourhood’s small grant application. We know you may have some questions. This FAQ is designed to help you understand what you need to know. </w:t>
      </w:r>
    </w:p>
    <w:p w:rsidR="00026B45" w:rsidRPr="00772601" w:rsidRDefault="00026B45" w:rsidP="00026B45">
      <w:pPr>
        <w:rPr>
          <w:rFonts w:ascii="Verdana" w:hAnsi="Verdana"/>
          <w:sz w:val="22"/>
          <w:szCs w:val="24"/>
        </w:rPr>
      </w:pPr>
    </w:p>
    <w:p w:rsidR="00026B45" w:rsidRPr="00772601" w:rsidRDefault="00026B45" w:rsidP="00026B45">
      <w:pPr>
        <w:pStyle w:val="NormalWeb"/>
        <w:spacing w:before="0" w:beforeAutospacing="0" w:after="0" w:afterAutospacing="0"/>
        <w:rPr>
          <w:rFonts w:ascii="Verdana" w:hAnsi="Verdana"/>
          <w:sz w:val="22"/>
        </w:rPr>
      </w:pPr>
      <w:r w:rsidRPr="00772601">
        <w:rPr>
          <w:rFonts w:ascii="Verdana" w:hAnsi="Verdana"/>
          <w:b/>
          <w:bCs/>
          <w:color w:val="000000"/>
          <w:sz w:val="22"/>
        </w:rPr>
        <w:t>What is a fiscal sponsor?</w:t>
      </w:r>
    </w:p>
    <w:p w:rsidR="00026B45" w:rsidRPr="00772601" w:rsidRDefault="00026B45" w:rsidP="00026B45">
      <w:pPr>
        <w:rPr>
          <w:rFonts w:ascii="Verdana" w:hAnsi="Verdana"/>
          <w:sz w:val="22"/>
          <w:szCs w:val="24"/>
        </w:rPr>
      </w:pPr>
    </w:p>
    <w:p w:rsidR="00026B45" w:rsidRPr="00772601" w:rsidRDefault="00026B45" w:rsidP="00026B45">
      <w:pPr>
        <w:pStyle w:val="NormalWeb"/>
        <w:spacing w:before="0" w:beforeAutospacing="0" w:after="0" w:afterAutospacing="0"/>
        <w:rPr>
          <w:rFonts w:ascii="Verdana" w:hAnsi="Verdana"/>
          <w:sz w:val="22"/>
        </w:rPr>
      </w:pPr>
      <w:r w:rsidRPr="00772601">
        <w:rPr>
          <w:rFonts w:ascii="Verdana" w:hAnsi="Verdana"/>
          <w:color w:val="000000"/>
          <w:sz w:val="22"/>
        </w:rPr>
        <w:t>As a public foundation, HCF is restricted by the Income Tax Act to make grants or distributions only to Registered Charitable Organizations. HCF cannot issue funds to individuals or planning teams, so grant applicants will need to partner with a registered charity (RC) who will act as their fiscal sponsor. SPRC acted as fiscal sponsor for the small grant applications for residents till December 31, 2017. Moving forward, grant applicants will have the power to choose a charitable organization of their choice to partner with – you may be asked to act as a fiscal sponsor for a neighbourhood’s small grant. The CRA requires that the mission of the charitable partner needs to align with the spirit of the small grant for them to act as your fiscal sponsor (for example: a small grant looking to organize a children’s fair would not partner with a charity that only serves seniors). CRA has requested that the relationship between the charity (fiscal sponsor) and the non-charitable organisation (the agent, in this case, the small grant applicants) be formalized and documented before a grant can be awarded.</w:t>
      </w:r>
    </w:p>
    <w:p w:rsidR="00026B45" w:rsidRPr="00772601" w:rsidRDefault="00026B45" w:rsidP="00026B45">
      <w:pPr>
        <w:rPr>
          <w:rFonts w:ascii="Verdana" w:hAnsi="Verdana"/>
          <w:sz w:val="22"/>
          <w:szCs w:val="24"/>
        </w:rPr>
      </w:pPr>
    </w:p>
    <w:p w:rsidR="00026B45" w:rsidRPr="00772601" w:rsidRDefault="00026B45" w:rsidP="00026B45">
      <w:pPr>
        <w:pStyle w:val="NormalWeb"/>
        <w:spacing w:before="0" w:beforeAutospacing="0" w:after="0" w:afterAutospacing="0"/>
        <w:rPr>
          <w:rFonts w:ascii="Verdana" w:hAnsi="Verdana"/>
          <w:sz w:val="22"/>
        </w:rPr>
      </w:pPr>
      <w:r w:rsidRPr="00772601">
        <w:rPr>
          <w:rFonts w:ascii="Verdana" w:hAnsi="Verdana"/>
          <w:b/>
          <w:bCs/>
          <w:color w:val="000000"/>
          <w:sz w:val="22"/>
        </w:rPr>
        <w:t>What are my responsibilities as a fiscal sponsor?</w:t>
      </w:r>
    </w:p>
    <w:p w:rsidR="00026B45" w:rsidRPr="00772601" w:rsidRDefault="00026B45" w:rsidP="00026B45">
      <w:pPr>
        <w:rPr>
          <w:rFonts w:ascii="Verdana" w:hAnsi="Verdana"/>
          <w:sz w:val="22"/>
          <w:szCs w:val="24"/>
        </w:rPr>
      </w:pPr>
    </w:p>
    <w:p w:rsidR="00772601" w:rsidRDefault="00026B45" w:rsidP="00026B45">
      <w:pPr>
        <w:pStyle w:val="NormalWeb"/>
        <w:spacing w:before="0" w:beforeAutospacing="0" w:after="0" w:afterAutospacing="0"/>
        <w:rPr>
          <w:rFonts w:ascii="Verdana" w:hAnsi="Verdana"/>
          <w:color w:val="000000"/>
          <w:sz w:val="22"/>
        </w:rPr>
      </w:pPr>
      <w:r w:rsidRPr="00772601">
        <w:rPr>
          <w:rFonts w:ascii="Verdana" w:hAnsi="Verdana"/>
          <w:color w:val="000000"/>
          <w:sz w:val="22"/>
        </w:rPr>
        <w:t xml:space="preserve">As a fiscal sponsor, your RC enters into a formal relationship with the small grant applicants. This relationship must be outlined in writing. A letter of agreement outlining the partnership between grant applicants and their fiscal sponsor needs to be included with each small grant application. It is the neighbourhood’s responsibility, with the support of the CD, to ensure grant applications and the accompanying fiscal sponsor letter are completed and signed off </w:t>
      </w:r>
      <w:r w:rsidRPr="00772601">
        <w:rPr>
          <w:rFonts w:ascii="Verdana" w:hAnsi="Verdana"/>
          <w:i/>
          <w:iCs/>
          <w:color w:val="000000"/>
          <w:sz w:val="22"/>
        </w:rPr>
        <w:t>before</w:t>
      </w:r>
      <w:r w:rsidRPr="00772601">
        <w:rPr>
          <w:rFonts w:ascii="Verdana" w:hAnsi="Verdana"/>
          <w:color w:val="000000"/>
          <w:sz w:val="22"/>
        </w:rPr>
        <w:t xml:space="preserve"> the application is submitted to HCF. The CD </w:t>
      </w:r>
    </w:p>
    <w:p w:rsidR="00CD4149" w:rsidRDefault="00CD4149" w:rsidP="00026B45">
      <w:pPr>
        <w:pStyle w:val="NormalWeb"/>
        <w:spacing w:before="0" w:beforeAutospacing="0" w:after="0" w:afterAutospacing="0"/>
        <w:rPr>
          <w:rFonts w:ascii="Verdana" w:hAnsi="Verdana"/>
          <w:color w:val="000000"/>
          <w:sz w:val="22"/>
        </w:rPr>
      </w:pPr>
    </w:p>
    <w:p w:rsidR="00CD4149" w:rsidRDefault="00CD4149" w:rsidP="00026B45">
      <w:pPr>
        <w:pStyle w:val="NormalWeb"/>
        <w:spacing w:before="0" w:beforeAutospacing="0" w:after="0" w:afterAutospacing="0"/>
        <w:rPr>
          <w:rFonts w:ascii="Verdana" w:hAnsi="Verdana"/>
          <w:color w:val="000000"/>
          <w:sz w:val="22"/>
        </w:rPr>
      </w:pPr>
    </w:p>
    <w:p w:rsidR="00947207" w:rsidRDefault="00947207" w:rsidP="00026B45">
      <w:pPr>
        <w:pStyle w:val="NormalWeb"/>
        <w:spacing w:before="0" w:beforeAutospacing="0" w:after="0" w:afterAutospacing="0"/>
        <w:rPr>
          <w:rFonts w:ascii="Verdana" w:hAnsi="Verdana"/>
          <w:color w:val="000000"/>
          <w:sz w:val="22"/>
        </w:rPr>
      </w:pPr>
    </w:p>
    <w:p w:rsidR="00772601" w:rsidRDefault="00026B45" w:rsidP="00026B45">
      <w:pPr>
        <w:pStyle w:val="NormalWeb"/>
        <w:spacing w:before="0" w:beforeAutospacing="0" w:after="0" w:afterAutospacing="0"/>
        <w:rPr>
          <w:rFonts w:ascii="Verdana" w:hAnsi="Verdana"/>
          <w:color w:val="000000"/>
          <w:sz w:val="22"/>
        </w:rPr>
      </w:pPr>
      <w:proofErr w:type="gramStart"/>
      <w:r w:rsidRPr="00772601">
        <w:rPr>
          <w:rFonts w:ascii="Verdana" w:hAnsi="Verdana"/>
          <w:color w:val="000000"/>
          <w:sz w:val="22"/>
        </w:rPr>
        <w:t>and</w:t>
      </w:r>
      <w:proofErr w:type="gramEnd"/>
      <w:r w:rsidRPr="00772601">
        <w:rPr>
          <w:rFonts w:ascii="Verdana" w:hAnsi="Verdana"/>
          <w:color w:val="000000"/>
          <w:sz w:val="22"/>
        </w:rPr>
        <w:t xml:space="preserve"> small grant applicants are responsible for submitting the final application and letter</w:t>
      </w:r>
    </w:p>
    <w:p w:rsidR="00026B45" w:rsidRPr="00772601" w:rsidRDefault="00026B45" w:rsidP="00026B45">
      <w:pPr>
        <w:pStyle w:val="NormalWeb"/>
        <w:spacing w:before="0" w:beforeAutospacing="0" w:after="0" w:afterAutospacing="0"/>
        <w:rPr>
          <w:rFonts w:ascii="Verdana" w:hAnsi="Verdana"/>
          <w:sz w:val="22"/>
        </w:rPr>
      </w:pPr>
      <w:proofErr w:type="gramStart"/>
      <w:r w:rsidRPr="00772601">
        <w:rPr>
          <w:rFonts w:ascii="Verdana" w:hAnsi="Verdana"/>
          <w:color w:val="000000"/>
          <w:sz w:val="22"/>
        </w:rPr>
        <w:t>of</w:t>
      </w:r>
      <w:proofErr w:type="gramEnd"/>
      <w:r w:rsidRPr="00772601">
        <w:rPr>
          <w:rFonts w:ascii="Verdana" w:hAnsi="Verdana"/>
          <w:color w:val="000000"/>
          <w:sz w:val="22"/>
        </w:rPr>
        <w:t xml:space="preserve"> agreement to HCF. It is completely up to each neighbourhood to decide when they want to have the fiscal sponsor letter signed off, as long as both documents are complete and attached together when they are submitted to HCF. The fiscal sponsor should be provided a copy of your small grant. See template letter</w:t>
      </w:r>
      <w:r w:rsidR="00CD4149">
        <w:rPr>
          <w:rFonts w:ascii="Verdana" w:hAnsi="Verdana"/>
          <w:color w:val="000000"/>
          <w:sz w:val="22"/>
        </w:rPr>
        <w:t xml:space="preserve"> in this toolkit.</w:t>
      </w:r>
    </w:p>
    <w:p w:rsidR="00026B45" w:rsidRPr="00772601" w:rsidRDefault="00026B45" w:rsidP="00026B45">
      <w:pPr>
        <w:rPr>
          <w:rFonts w:ascii="Verdana" w:hAnsi="Verdana"/>
          <w:sz w:val="22"/>
          <w:szCs w:val="24"/>
        </w:rPr>
      </w:pPr>
    </w:p>
    <w:p w:rsidR="00026B45" w:rsidRPr="00772601" w:rsidRDefault="00026B45" w:rsidP="00026B45">
      <w:pPr>
        <w:pStyle w:val="NormalWeb"/>
        <w:spacing w:before="0" w:beforeAutospacing="0" w:after="0" w:afterAutospacing="0"/>
        <w:rPr>
          <w:rFonts w:ascii="Verdana" w:hAnsi="Verdana"/>
          <w:sz w:val="22"/>
        </w:rPr>
      </w:pPr>
      <w:r w:rsidRPr="00772601">
        <w:rPr>
          <w:rFonts w:ascii="Verdana" w:hAnsi="Verdana"/>
          <w:color w:val="000000"/>
          <w:sz w:val="22"/>
        </w:rPr>
        <w:t xml:space="preserve">Once a grant application is received, HCF commits to processing grant applications and sending a cheque to the fiscal sponsor within two weeks. From there, it is the fiscal sponsor’s responsibility to issue ONE cheque to the neighbourhood. </w:t>
      </w:r>
    </w:p>
    <w:p w:rsidR="00026B45" w:rsidRPr="00772601" w:rsidRDefault="00026B45" w:rsidP="00026B45">
      <w:pPr>
        <w:rPr>
          <w:rFonts w:ascii="Verdana" w:hAnsi="Verdana"/>
          <w:sz w:val="22"/>
          <w:szCs w:val="24"/>
        </w:rPr>
      </w:pPr>
    </w:p>
    <w:p w:rsidR="00026B45" w:rsidRPr="00772601" w:rsidRDefault="00026B45" w:rsidP="00026B45">
      <w:pPr>
        <w:pStyle w:val="NormalWeb"/>
        <w:spacing w:before="0" w:beforeAutospacing="0" w:after="0" w:afterAutospacing="0"/>
        <w:rPr>
          <w:rFonts w:ascii="Verdana" w:hAnsi="Verdana"/>
          <w:sz w:val="22"/>
        </w:rPr>
      </w:pPr>
      <w:r w:rsidRPr="00772601">
        <w:rPr>
          <w:rFonts w:ascii="Verdana" w:hAnsi="Verdana"/>
          <w:color w:val="000000"/>
          <w:sz w:val="22"/>
        </w:rPr>
        <w:t xml:space="preserve">It is the responsibility of the grant applicants, with the support of the CD, to submit the final report and related receipts to HCF. </w:t>
      </w:r>
    </w:p>
    <w:p w:rsidR="00026B45" w:rsidRPr="00772601" w:rsidRDefault="00026B45" w:rsidP="00026B45">
      <w:pPr>
        <w:rPr>
          <w:rFonts w:ascii="Verdana" w:hAnsi="Verdana"/>
          <w:sz w:val="22"/>
          <w:szCs w:val="24"/>
        </w:rPr>
      </w:pPr>
    </w:p>
    <w:p w:rsidR="00026B45" w:rsidRPr="00772601" w:rsidRDefault="00026B45" w:rsidP="00026B45">
      <w:pPr>
        <w:pStyle w:val="NormalWeb"/>
        <w:spacing w:before="0" w:beforeAutospacing="0" w:after="0" w:afterAutospacing="0"/>
        <w:rPr>
          <w:rFonts w:ascii="Verdana" w:hAnsi="Verdana"/>
          <w:sz w:val="22"/>
        </w:rPr>
      </w:pPr>
      <w:r w:rsidRPr="00772601">
        <w:rPr>
          <w:rFonts w:ascii="Verdana" w:hAnsi="Verdana"/>
          <w:b/>
          <w:bCs/>
          <w:color w:val="000000"/>
          <w:sz w:val="22"/>
        </w:rPr>
        <w:t>When does the money need to be spent?</w:t>
      </w:r>
    </w:p>
    <w:p w:rsidR="00026B45" w:rsidRPr="00772601" w:rsidRDefault="00026B45" w:rsidP="00026B45">
      <w:pPr>
        <w:rPr>
          <w:rFonts w:ascii="Verdana" w:hAnsi="Verdana"/>
          <w:sz w:val="22"/>
          <w:szCs w:val="24"/>
        </w:rPr>
      </w:pPr>
    </w:p>
    <w:p w:rsidR="00026B45" w:rsidRPr="00772601" w:rsidRDefault="00026B45" w:rsidP="00026B45">
      <w:pPr>
        <w:pStyle w:val="NormalWeb"/>
        <w:spacing w:before="0" w:beforeAutospacing="0" w:after="0" w:afterAutospacing="0"/>
        <w:rPr>
          <w:rFonts w:ascii="Verdana" w:hAnsi="Verdana"/>
          <w:sz w:val="22"/>
        </w:rPr>
      </w:pPr>
      <w:r w:rsidRPr="00772601">
        <w:rPr>
          <w:rFonts w:ascii="Verdana" w:hAnsi="Verdana"/>
          <w:color w:val="000000"/>
          <w:sz w:val="22"/>
        </w:rPr>
        <w:t>In general, small grant monies should be spent within 6 months of the cheque being issued, and the final report should be submitted within 1 month after the project or event is completed. Fiscal sponsors are NOT responsible for completing the final report or gathering receipts. This is t</w:t>
      </w:r>
      <w:bookmarkStart w:id="0" w:name="_GoBack"/>
      <w:bookmarkEnd w:id="0"/>
      <w:r w:rsidRPr="00772601">
        <w:rPr>
          <w:rFonts w:ascii="Verdana" w:hAnsi="Verdana"/>
          <w:color w:val="000000"/>
          <w:sz w:val="22"/>
        </w:rPr>
        <w:t>he responsibility of the CD and grant applicants. However, while the CD and small grant applicants are responsible for the gathering and competing of receipts and reports, it is the fiscal sponsor that is ultimately accountable to HCF that the funds were spent and accounted for as approved.</w:t>
      </w:r>
    </w:p>
    <w:p w:rsidR="00026B45" w:rsidRPr="00772601" w:rsidRDefault="00026B45" w:rsidP="00026B45">
      <w:pPr>
        <w:pStyle w:val="NormalWeb"/>
        <w:spacing w:before="280" w:beforeAutospacing="0" w:after="280" w:afterAutospacing="0"/>
        <w:rPr>
          <w:rFonts w:ascii="Verdana" w:hAnsi="Verdana"/>
          <w:sz w:val="22"/>
        </w:rPr>
      </w:pPr>
      <w:r w:rsidRPr="00772601">
        <w:rPr>
          <w:rFonts w:ascii="Verdana" w:hAnsi="Verdana"/>
          <w:b/>
          <w:bCs/>
          <w:color w:val="000000"/>
          <w:sz w:val="22"/>
        </w:rPr>
        <w:t>How often can my organization act as a fiscal sponsor for a neighbourhood’s small grant application?</w:t>
      </w:r>
    </w:p>
    <w:p w:rsidR="00026B45" w:rsidRPr="00772601" w:rsidRDefault="00026B45" w:rsidP="00026B45">
      <w:pPr>
        <w:pStyle w:val="NormalWeb"/>
        <w:spacing w:before="0" w:beforeAutospacing="0" w:after="280" w:afterAutospacing="0"/>
        <w:rPr>
          <w:rFonts w:ascii="Verdana" w:hAnsi="Verdana"/>
          <w:sz w:val="22"/>
        </w:rPr>
      </w:pPr>
      <w:r w:rsidRPr="00772601">
        <w:rPr>
          <w:rFonts w:ascii="Verdana" w:hAnsi="Verdana"/>
          <w:color w:val="000000"/>
          <w:sz w:val="22"/>
        </w:rPr>
        <w:t>Neighbourhoods are able to work with an RC for more than one grant application. From our perspective however, it can be beneficial to work with multiple organizations because it gives neighbourhoods an opportunity to build deeper networks with a variety of RCs that can support their work. It is also important if residents are interested in applying for other grants with other foundations in the future – foundations and other granting bodies must follow similar CRA guidelines. The skills are very transferable beyond the NAS small grants!</w:t>
      </w:r>
    </w:p>
    <w:p w:rsidR="00026B45" w:rsidRPr="00772601" w:rsidRDefault="00026B45" w:rsidP="00026B45">
      <w:pPr>
        <w:pStyle w:val="NormalWeb"/>
        <w:spacing w:before="0" w:beforeAutospacing="0" w:after="280" w:afterAutospacing="0"/>
        <w:rPr>
          <w:rFonts w:ascii="Verdana" w:hAnsi="Verdana"/>
          <w:sz w:val="22"/>
        </w:rPr>
      </w:pPr>
      <w:r w:rsidRPr="00772601">
        <w:rPr>
          <w:rFonts w:ascii="Verdana" w:hAnsi="Verdana"/>
          <w:b/>
          <w:bCs/>
          <w:color w:val="000000"/>
          <w:sz w:val="22"/>
        </w:rPr>
        <w:t>Who reviews a neighbourhood’s small grant applications?</w:t>
      </w:r>
    </w:p>
    <w:p w:rsidR="00026B45" w:rsidRPr="00772601" w:rsidRDefault="00026B45" w:rsidP="00026B45">
      <w:pPr>
        <w:pStyle w:val="NormalWeb"/>
        <w:spacing w:before="0" w:beforeAutospacing="0" w:after="280" w:afterAutospacing="0"/>
        <w:rPr>
          <w:rFonts w:ascii="Verdana" w:hAnsi="Verdana"/>
          <w:sz w:val="22"/>
        </w:rPr>
      </w:pPr>
      <w:r w:rsidRPr="00772601">
        <w:rPr>
          <w:rFonts w:ascii="Verdana" w:hAnsi="Verdana"/>
          <w:color w:val="000000"/>
          <w:sz w:val="22"/>
        </w:rPr>
        <w:t xml:space="preserve">All grant applications are reviewed by a group of residents and their CD, as well as staff at HCF. Each neighbourhood has designed a process for review that meets their needs. Please see the small grant application and process documents for more information and talk to the CDs and small grant applicants if you are interested in learning more about the review process. </w:t>
      </w:r>
    </w:p>
    <w:p w:rsidR="00026B45" w:rsidRPr="00772601" w:rsidRDefault="00026B45" w:rsidP="00026B45">
      <w:pPr>
        <w:pStyle w:val="NormalWeb"/>
        <w:spacing w:before="0" w:beforeAutospacing="0" w:after="280" w:afterAutospacing="0"/>
        <w:rPr>
          <w:rFonts w:ascii="Verdana" w:hAnsi="Verdana"/>
          <w:sz w:val="22"/>
        </w:rPr>
      </w:pPr>
      <w:r w:rsidRPr="00772601">
        <w:rPr>
          <w:rFonts w:ascii="Verdana" w:hAnsi="Verdana"/>
          <w:b/>
          <w:bCs/>
          <w:color w:val="000000"/>
          <w:sz w:val="22"/>
        </w:rPr>
        <w:t>Can I charge an administration fee?</w:t>
      </w:r>
    </w:p>
    <w:p w:rsidR="00B84C07" w:rsidRPr="00BF2D74" w:rsidRDefault="00026B45" w:rsidP="00947207">
      <w:pPr>
        <w:pStyle w:val="NormalWeb"/>
        <w:spacing w:before="0" w:beforeAutospacing="0" w:after="280" w:afterAutospacing="0"/>
        <w:rPr>
          <w:rFonts w:ascii="Verdana" w:hAnsi="Verdana"/>
          <w:sz w:val="26"/>
          <w:szCs w:val="26"/>
        </w:rPr>
      </w:pPr>
      <w:r w:rsidRPr="00772601">
        <w:rPr>
          <w:rFonts w:ascii="Verdana" w:hAnsi="Verdana"/>
          <w:color w:val="000000"/>
          <w:sz w:val="22"/>
        </w:rPr>
        <w:t xml:space="preserve">Typically, no. CDs and small grant applicants are responsible for the bulk of the administration related to the application. HCF encourages fiscal sponsors to provide this level of support in good faith and in support of resident engagement and community development in Hamilton. By exception, and where this work becomes burdensome, please contact the CD involved with the application. Contact information for the CDs can be found here: </w:t>
      </w:r>
      <w:r w:rsidR="007631A7" w:rsidRPr="00947207">
        <w:rPr>
          <w:rFonts w:ascii="Verdana" w:hAnsi="Verdana"/>
          <w:color w:val="000000"/>
          <w:sz w:val="22"/>
        </w:rPr>
        <w:t>www.hamiltoncommunityfoundation.ca/NAS</w:t>
      </w:r>
    </w:p>
    <w:sectPr w:rsidR="00B84C07" w:rsidRPr="00BF2D74" w:rsidSect="00D61FB5">
      <w:footerReference w:type="default" r:id="rId10"/>
      <w:pgSz w:w="12240" w:h="15840"/>
      <w:pgMar w:top="432" w:right="1152" w:bottom="432" w:left="1152" w:header="706" w:footer="706" w:gutter="0"/>
      <w:pgBorders w:offsetFrom="page">
        <w:top w:val="single" w:sz="24" w:space="24" w:color="auto"/>
        <w:left w:val="single" w:sz="24" w:space="24" w:color="auto"/>
        <w:bottom w:val="single" w:sz="24" w:space="24" w:color="auto"/>
        <w:right w:val="single" w:sz="24" w:space="24" w:color="auto"/>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459" w:rsidRDefault="00880459">
      <w:r>
        <w:separator/>
      </w:r>
    </w:p>
  </w:endnote>
  <w:endnote w:type="continuationSeparator" w:id="0">
    <w:p w:rsidR="00880459" w:rsidRDefault="0088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Pro-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29A" w:rsidRPr="0083307C" w:rsidRDefault="0086529A">
    <w:pPr>
      <w:pStyle w:val="Footer"/>
      <w:framePr w:wrap="around" w:vAnchor="text" w:hAnchor="margin" w:xAlign="right" w:y="1"/>
      <w:rPr>
        <w:rStyle w:val="PageNumber"/>
        <w:rFonts w:ascii="Verdana" w:hAnsi="Verdana"/>
        <w:sz w:val="22"/>
        <w:szCs w:val="22"/>
      </w:rPr>
    </w:pPr>
    <w:r>
      <w:rPr>
        <w:rStyle w:val="PageNumber"/>
        <w:rFonts w:ascii="Verdana" w:hAnsi="Verdana"/>
        <w:sz w:val="22"/>
        <w:szCs w:val="22"/>
      </w:rPr>
      <w:t xml:space="preserve">Page </w:t>
    </w:r>
    <w:r w:rsidRPr="0083307C">
      <w:rPr>
        <w:rStyle w:val="PageNumber"/>
        <w:rFonts w:ascii="Verdana" w:hAnsi="Verdana"/>
        <w:sz w:val="22"/>
        <w:szCs w:val="22"/>
      </w:rPr>
      <w:fldChar w:fldCharType="begin"/>
    </w:r>
    <w:r w:rsidRPr="0083307C">
      <w:rPr>
        <w:rStyle w:val="PageNumber"/>
        <w:rFonts w:ascii="Verdana" w:hAnsi="Verdana"/>
        <w:sz w:val="22"/>
        <w:szCs w:val="22"/>
      </w:rPr>
      <w:instrText xml:space="preserve">PAGE  </w:instrText>
    </w:r>
    <w:r w:rsidRPr="0083307C">
      <w:rPr>
        <w:rStyle w:val="PageNumber"/>
        <w:rFonts w:ascii="Verdana" w:hAnsi="Verdana"/>
        <w:sz w:val="22"/>
        <w:szCs w:val="22"/>
      </w:rPr>
      <w:fldChar w:fldCharType="separate"/>
    </w:r>
    <w:r w:rsidR="004C4EBC">
      <w:rPr>
        <w:rStyle w:val="PageNumber"/>
        <w:rFonts w:ascii="Verdana" w:hAnsi="Verdana"/>
        <w:noProof/>
        <w:sz w:val="22"/>
        <w:szCs w:val="22"/>
      </w:rPr>
      <w:t>2</w:t>
    </w:r>
    <w:r w:rsidRPr="0083307C">
      <w:rPr>
        <w:rStyle w:val="PageNumber"/>
        <w:rFonts w:ascii="Verdana" w:hAnsi="Verdana"/>
        <w:sz w:val="22"/>
        <w:szCs w:val="22"/>
      </w:rPr>
      <w:fldChar w:fldCharType="end"/>
    </w:r>
    <w:r>
      <w:rPr>
        <w:rStyle w:val="PageNumber"/>
        <w:rFonts w:ascii="Verdana" w:hAnsi="Verdana"/>
        <w:sz w:val="22"/>
        <w:szCs w:val="22"/>
      </w:rPr>
      <w:t xml:space="preserve"> of </w:t>
    </w:r>
    <w:r w:rsidR="005551DB">
      <w:rPr>
        <w:rStyle w:val="PageNumber"/>
        <w:rFonts w:ascii="Verdana" w:hAnsi="Verdana"/>
        <w:sz w:val="22"/>
        <w:szCs w:val="22"/>
      </w:rPr>
      <w:t>2</w:t>
    </w:r>
    <w:r>
      <w:rPr>
        <w:rStyle w:val="PageNumber"/>
        <w:rFonts w:ascii="Verdana" w:hAnsi="Verdana"/>
        <w:sz w:val="22"/>
        <w:szCs w:val="22"/>
      </w:rPr>
      <w:t xml:space="preserve"> </w:t>
    </w:r>
  </w:p>
  <w:p w:rsidR="0086529A" w:rsidRPr="00CD4149" w:rsidRDefault="0086529A" w:rsidP="00CD4149">
    <w:pPr>
      <w:pStyle w:val="Footer"/>
      <w:ind w:right="360"/>
      <w:rPr>
        <w:rFonts w:ascii="Verdana" w:hAnsi="Verdana"/>
        <w:sz w:val="22"/>
        <w:szCs w:val="22"/>
      </w:rPr>
    </w:pPr>
    <w:r w:rsidRPr="0083307C">
      <w:rPr>
        <w:rFonts w:ascii="Verdana" w:hAnsi="Verdana"/>
        <w:sz w:val="22"/>
        <w:szCs w:val="22"/>
      </w:rPr>
      <w:t xml:space="preserve">Small Grants </w:t>
    </w:r>
    <w:r>
      <w:rPr>
        <w:rFonts w:ascii="Verdana" w:hAnsi="Verdana"/>
        <w:sz w:val="22"/>
        <w:szCs w:val="22"/>
      </w:rPr>
      <w:t xml:space="preserve">Program </w:t>
    </w:r>
    <w:r w:rsidRPr="0083307C">
      <w:rPr>
        <w:rFonts w:ascii="Verdana" w:hAnsi="Verdana"/>
        <w:sz w:val="22"/>
        <w:szCs w:val="22"/>
      </w:rPr>
      <w:t xml:space="preserve">Toolkit 2018 Pilot | </w:t>
    </w:r>
    <w:r w:rsidR="005551DB">
      <w:rPr>
        <w:rFonts w:ascii="Verdana" w:hAnsi="Verdana"/>
        <w:sz w:val="22"/>
        <w:szCs w:val="22"/>
      </w:rPr>
      <w:t>FAQs for Fiscal Sponsors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459" w:rsidRDefault="00880459">
      <w:r>
        <w:separator/>
      </w:r>
    </w:p>
  </w:footnote>
  <w:footnote w:type="continuationSeparator" w:id="0">
    <w:p w:rsidR="00880459" w:rsidRDefault="00880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B50"/>
    <w:multiLevelType w:val="hybridMultilevel"/>
    <w:tmpl w:val="DDBCFF4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C3E624B"/>
    <w:multiLevelType w:val="hybridMultilevel"/>
    <w:tmpl w:val="26F4BF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1A2886"/>
    <w:multiLevelType w:val="hybridMultilevel"/>
    <w:tmpl w:val="F14697A8"/>
    <w:lvl w:ilvl="0" w:tplc="9F446D2E">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733C85"/>
    <w:multiLevelType w:val="hybridMultilevel"/>
    <w:tmpl w:val="FEE2B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9E587D"/>
    <w:multiLevelType w:val="hybridMultilevel"/>
    <w:tmpl w:val="E3ACE6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E3003D"/>
    <w:multiLevelType w:val="hybridMultilevel"/>
    <w:tmpl w:val="AD72807E"/>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1C815CB"/>
    <w:multiLevelType w:val="hybridMultilevel"/>
    <w:tmpl w:val="CCFEE9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BB379B"/>
    <w:multiLevelType w:val="hybridMultilevel"/>
    <w:tmpl w:val="29E0D7B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D9831CA"/>
    <w:multiLevelType w:val="hybridMultilevel"/>
    <w:tmpl w:val="ADC29B0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0B8232C"/>
    <w:multiLevelType w:val="multilevel"/>
    <w:tmpl w:val="E7428A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5B2C8F"/>
    <w:multiLevelType w:val="hybridMultilevel"/>
    <w:tmpl w:val="3F421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800A94"/>
    <w:multiLevelType w:val="hybridMultilevel"/>
    <w:tmpl w:val="14E041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70F5ECF"/>
    <w:multiLevelType w:val="hybridMultilevel"/>
    <w:tmpl w:val="FC5879D2"/>
    <w:lvl w:ilvl="0" w:tplc="10090009">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3" w15:restartNumberingAfterBreak="0">
    <w:nsid w:val="4A526C0F"/>
    <w:multiLevelType w:val="hybridMultilevel"/>
    <w:tmpl w:val="A76456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4B72A1F"/>
    <w:multiLevelType w:val="hybridMultilevel"/>
    <w:tmpl w:val="2A045E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4FC0AA5"/>
    <w:multiLevelType w:val="hybridMultilevel"/>
    <w:tmpl w:val="BE56705A"/>
    <w:lvl w:ilvl="0" w:tplc="8ECA6890">
      <w:start w:val="289"/>
      <w:numFmt w:val="bullet"/>
      <w:lvlText w:val="-"/>
      <w:lvlJc w:val="left"/>
      <w:pPr>
        <w:ind w:left="720" w:hanging="360"/>
      </w:pPr>
      <w:rPr>
        <w:rFonts w:ascii="Verdana" w:eastAsia="Times New Roman" w:hAnsi="Verdana" w:cs="MyriadPro-Regular"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548646F"/>
    <w:multiLevelType w:val="hybridMultilevel"/>
    <w:tmpl w:val="6CF8D13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EF06E50"/>
    <w:multiLevelType w:val="hybridMultilevel"/>
    <w:tmpl w:val="F76CB13C"/>
    <w:lvl w:ilvl="0" w:tplc="D0D63A04">
      <w:start w:val="1"/>
      <w:numFmt w:val="decimal"/>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645312D2"/>
    <w:multiLevelType w:val="hybridMultilevel"/>
    <w:tmpl w:val="BB342E72"/>
    <w:lvl w:ilvl="0" w:tplc="66FE741C">
      <w:start w:val="1"/>
      <w:numFmt w:val="decimal"/>
      <w:lvlText w:val="%1)"/>
      <w:lvlJc w:val="left"/>
      <w:pPr>
        <w:ind w:left="1102" w:hanging="720"/>
      </w:pPr>
      <w:rPr>
        <w:rFonts w:hint="default"/>
      </w:rPr>
    </w:lvl>
    <w:lvl w:ilvl="1" w:tplc="10090019" w:tentative="1">
      <w:start w:val="1"/>
      <w:numFmt w:val="lowerLetter"/>
      <w:lvlText w:val="%2."/>
      <w:lvlJc w:val="left"/>
      <w:pPr>
        <w:ind w:left="1462" w:hanging="360"/>
      </w:pPr>
    </w:lvl>
    <w:lvl w:ilvl="2" w:tplc="1009001B" w:tentative="1">
      <w:start w:val="1"/>
      <w:numFmt w:val="lowerRoman"/>
      <w:lvlText w:val="%3."/>
      <w:lvlJc w:val="right"/>
      <w:pPr>
        <w:ind w:left="2182" w:hanging="180"/>
      </w:pPr>
    </w:lvl>
    <w:lvl w:ilvl="3" w:tplc="1009000F" w:tentative="1">
      <w:start w:val="1"/>
      <w:numFmt w:val="decimal"/>
      <w:lvlText w:val="%4."/>
      <w:lvlJc w:val="left"/>
      <w:pPr>
        <w:ind w:left="2902" w:hanging="360"/>
      </w:pPr>
    </w:lvl>
    <w:lvl w:ilvl="4" w:tplc="10090019" w:tentative="1">
      <w:start w:val="1"/>
      <w:numFmt w:val="lowerLetter"/>
      <w:lvlText w:val="%5."/>
      <w:lvlJc w:val="left"/>
      <w:pPr>
        <w:ind w:left="3622" w:hanging="360"/>
      </w:pPr>
    </w:lvl>
    <w:lvl w:ilvl="5" w:tplc="1009001B" w:tentative="1">
      <w:start w:val="1"/>
      <w:numFmt w:val="lowerRoman"/>
      <w:lvlText w:val="%6."/>
      <w:lvlJc w:val="right"/>
      <w:pPr>
        <w:ind w:left="4342" w:hanging="180"/>
      </w:pPr>
    </w:lvl>
    <w:lvl w:ilvl="6" w:tplc="1009000F" w:tentative="1">
      <w:start w:val="1"/>
      <w:numFmt w:val="decimal"/>
      <w:lvlText w:val="%7."/>
      <w:lvlJc w:val="left"/>
      <w:pPr>
        <w:ind w:left="5062" w:hanging="360"/>
      </w:pPr>
    </w:lvl>
    <w:lvl w:ilvl="7" w:tplc="10090019" w:tentative="1">
      <w:start w:val="1"/>
      <w:numFmt w:val="lowerLetter"/>
      <w:lvlText w:val="%8."/>
      <w:lvlJc w:val="left"/>
      <w:pPr>
        <w:ind w:left="5782" w:hanging="360"/>
      </w:pPr>
    </w:lvl>
    <w:lvl w:ilvl="8" w:tplc="1009001B" w:tentative="1">
      <w:start w:val="1"/>
      <w:numFmt w:val="lowerRoman"/>
      <w:lvlText w:val="%9."/>
      <w:lvlJc w:val="right"/>
      <w:pPr>
        <w:ind w:left="6502" w:hanging="180"/>
      </w:pPr>
    </w:lvl>
  </w:abstractNum>
  <w:abstractNum w:abstractNumId="19" w15:restartNumberingAfterBreak="0">
    <w:nsid w:val="64A3000C"/>
    <w:multiLevelType w:val="hybridMultilevel"/>
    <w:tmpl w:val="DCB8361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CBC2530"/>
    <w:multiLevelType w:val="hybridMultilevel"/>
    <w:tmpl w:val="D312EF9A"/>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66E2ACD"/>
    <w:multiLevelType w:val="hybridMultilevel"/>
    <w:tmpl w:val="47BC8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DFE3A1B"/>
    <w:multiLevelType w:val="multilevel"/>
    <w:tmpl w:val="B344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11"/>
  </w:num>
  <w:num w:numId="4">
    <w:abstractNumId w:val="16"/>
  </w:num>
  <w:num w:numId="5">
    <w:abstractNumId w:val="0"/>
  </w:num>
  <w:num w:numId="6">
    <w:abstractNumId w:val="15"/>
  </w:num>
  <w:num w:numId="7">
    <w:abstractNumId w:val="5"/>
  </w:num>
  <w:num w:numId="8">
    <w:abstractNumId w:val="7"/>
  </w:num>
  <w:num w:numId="9">
    <w:abstractNumId w:val="18"/>
  </w:num>
  <w:num w:numId="10">
    <w:abstractNumId w:val="9"/>
  </w:num>
  <w:num w:numId="11">
    <w:abstractNumId w:val="22"/>
  </w:num>
  <w:num w:numId="12">
    <w:abstractNumId w:val="14"/>
  </w:num>
  <w:num w:numId="13">
    <w:abstractNumId w:val="3"/>
  </w:num>
  <w:num w:numId="14">
    <w:abstractNumId w:val="4"/>
  </w:num>
  <w:num w:numId="15">
    <w:abstractNumId w:val="21"/>
  </w:num>
  <w:num w:numId="16">
    <w:abstractNumId w:val="10"/>
  </w:num>
  <w:num w:numId="17">
    <w:abstractNumId w:val="1"/>
  </w:num>
  <w:num w:numId="18">
    <w:abstractNumId w:val="17"/>
  </w:num>
  <w:num w:numId="19">
    <w:abstractNumId w:val="12"/>
  </w:num>
  <w:num w:numId="20">
    <w:abstractNumId w:val="6"/>
  </w:num>
  <w:num w:numId="21">
    <w:abstractNumId w:val="8"/>
  </w:num>
  <w:num w:numId="22">
    <w:abstractNumId w:val="13"/>
  </w:num>
  <w:num w:numId="2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eAKM8PeEJ6G8GxcNRN2S4ZPo0eyNNFbx0GAzoAQotfMX6DYQkIWFMgNsDPRxCBPxczzdCiXGiiCpKJr3sk4g==" w:salt="Uv9YebicPG0DM2EhLtVKE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BE"/>
    <w:rsid w:val="000169BE"/>
    <w:rsid w:val="00026B45"/>
    <w:rsid w:val="0003068F"/>
    <w:rsid w:val="00047EA8"/>
    <w:rsid w:val="0005023D"/>
    <w:rsid w:val="00067924"/>
    <w:rsid w:val="00076175"/>
    <w:rsid w:val="00085FA0"/>
    <w:rsid w:val="00087DE2"/>
    <w:rsid w:val="00094910"/>
    <w:rsid w:val="00094D7B"/>
    <w:rsid w:val="000A110F"/>
    <w:rsid w:val="000A4C8B"/>
    <w:rsid w:val="000B4682"/>
    <w:rsid w:val="000B6867"/>
    <w:rsid w:val="000C5DF5"/>
    <w:rsid w:val="000C5FBD"/>
    <w:rsid w:val="000C75BC"/>
    <w:rsid w:val="000C7707"/>
    <w:rsid w:val="000D186D"/>
    <w:rsid w:val="001261E2"/>
    <w:rsid w:val="00171B95"/>
    <w:rsid w:val="001833D1"/>
    <w:rsid w:val="001A2352"/>
    <w:rsid w:val="001A5C56"/>
    <w:rsid w:val="001B17D3"/>
    <w:rsid w:val="001B74F4"/>
    <w:rsid w:val="001C6822"/>
    <w:rsid w:val="001D354C"/>
    <w:rsid w:val="001F3BB4"/>
    <w:rsid w:val="00202904"/>
    <w:rsid w:val="002059B2"/>
    <w:rsid w:val="00207CE6"/>
    <w:rsid w:val="00211EA7"/>
    <w:rsid w:val="002246DB"/>
    <w:rsid w:val="002343A7"/>
    <w:rsid w:val="00234946"/>
    <w:rsid w:val="002505A3"/>
    <w:rsid w:val="002730DA"/>
    <w:rsid w:val="0027726A"/>
    <w:rsid w:val="002800D4"/>
    <w:rsid w:val="0028413D"/>
    <w:rsid w:val="002A00ED"/>
    <w:rsid w:val="002A72C6"/>
    <w:rsid w:val="002C167E"/>
    <w:rsid w:val="002C62AA"/>
    <w:rsid w:val="002C668F"/>
    <w:rsid w:val="002E08BF"/>
    <w:rsid w:val="003052E7"/>
    <w:rsid w:val="003141A1"/>
    <w:rsid w:val="003144A6"/>
    <w:rsid w:val="00314930"/>
    <w:rsid w:val="00341013"/>
    <w:rsid w:val="00356397"/>
    <w:rsid w:val="0036019A"/>
    <w:rsid w:val="003746B1"/>
    <w:rsid w:val="003757F6"/>
    <w:rsid w:val="003A7F15"/>
    <w:rsid w:val="003C43FB"/>
    <w:rsid w:val="003D0209"/>
    <w:rsid w:val="003E7A58"/>
    <w:rsid w:val="003F2138"/>
    <w:rsid w:val="004015C1"/>
    <w:rsid w:val="00423874"/>
    <w:rsid w:val="004265BC"/>
    <w:rsid w:val="0043525B"/>
    <w:rsid w:val="0043648E"/>
    <w:rsid w:val="0044309A"/>
    <w:rsid w:val="00454C74"/>
    <w:rsid w:val="00461D45"/>
    <w:rsid w:val="004713B9"/>
    <w:rsid w:val="004A1520"/>
    <w:rsid w:val="004C12FC"/>
    <w:rsid w:val="004C4EBC"/>
    <w:rsid w:val="004D597E"/>
    <w:rsid w:val="004E73FF"/>
    <w:rsid w:val="004F4C8C"/>
    <w:rsid w:val="0050623B"/>
    <w:rsid w:val="0051798A"/>
    <w:rsid w:val="0052044E"/>
    <w:rsid w:val="005363CD"/>
    <w:rsid w:val="00541284"/>
    <w:rsid w:val="005500B7"/>
    <w:rsid w:val="00550561"/>
    <w:rsid w:val="005551DB"/>
    <w:rsid w:val="00555523"/>
    <w:rsid w:val="00582A0C"/>
    <w:rsid w:val="005959EA"/>
    <w:rsid w:val="00595DCA"/>
    <w:rsid w:val="005A0BF9"/>
    <w:rsid w:val="005A3B82"/>
    <w:rsid w:val="005A4824"/>
    <w:rsid w:val="005D6384"/>
    <w:rsid w:val="005E6157"/>
    <w:rsid w:val="005F41E7"/>
    <w:rsid w:val="00603974"/>
    <w:rsid w:val="00644D65"/>
    <w:rsid w:val="0065497F"/>
    <w:rsid w:val="00655BFC"/>
    <w:rsid w:val="006622AD"/>
    <w:rsid w:val="006640CE"/>
    <w:rsid w:val="006700DB"/>
    <w:rsid w:val="006742C8"/>
    <w:rsid w:val="00693E0F"/>
    <w:rsid w:val="006A0C9B"/>
    <w:rsid w:val="006A43B2"/>
    <w:rsid w:val="006C161D"/>
    <w:rsid w:val="006C1B3C"/>
    <w:rsid w:val="006D0CDE"/>
    <w:rsid w:val="006D56C1"/>
    <w:rsid w:val="006D763C"/>
    <w:rsid w:val="006F1742"/>
    <w:rsid w:val="006F1B08"/>
    <w:rsid w:val="00705D9A"/>
    <w:rsid w:val="00717D0F"/>
    <w:rsid w:val="00717E6E"/>
    <w:rsid w:val="00722B88"/>
    <w:rsid w:val="00732380"/>
    <w:rsid w:val="007371CA"/>
    <w:rsid w:val="00756EAB"/>
    <w:rsid w:val="007631A7"/>
    <w:rsid w:val="0077075A"/>
    <w:rsid w:val="00772601"/>
    <w:rsid w:val="007A6803"/>
    <w:rsid w:val="007D4CEF"/>
    <w:rsid w:val="0080639E"/>
    <w:rsid w:val="008173C1"/>
    <w:rsid w:val="0082163D"/>
    <w:rsid w:val="0083307C"/>
    <w:rsid w:val="00844009"/>
    <w:rsid w:val="0086529A"/>
    <w:rsid w:val="0087605C"/>
    <w:rsid w:val="008774BE"/>
    <w:rsid w:val="00880459"/>
    <w:rsid w:val="00895873"/>
    <w:rsid w:val="008A3075"/>
    <w:rsid w:val="008A7C3F"/>
    <w:rsid w:val="008E3125"/>
    <w:rsid w:val="008E67CB"/>
    <w:rsid w:val="008F0C87"/>
    <w:rsid w:val="008F220F"/>
    <w:rsid w:val="008F4409"/>
    <w:rsid w:val="00910431"/>
    <w:rsid w:val="0091168D"/>
    <w:rsid w:val="009137B9"/>
    <w:rsid w:val="00921A1D"/>
    <w:rsid w:val="00925CAD"/>
    <w:rsid w:val="00943D95"/>
    <w:rsid w:val="009444E5"/>
    <w:rsid w:val="00947207"/>
    <w:rsid w:val="00964E00"/>
    <w:rsid w:val="00973EFF"/>
    <w:rsid w:val="009866EE"/>
    <w:rsid w:val="009940AF"/>
    <w:rsid w:val="00994C9A"/>
    <w:rsid w:val="009A5650"/>
    <w:rsid w:val="009B47A0"/>
    <w:rsid w:val="009E0EC8"/>
    <w:rsid w:val="009E7ADD"/>
    <w:rsid w:val="00A00406"/>
    <w:rsid w:val="00A243CA"/>
    <w:rsid w:val="00A52CC5"/>
    <w:rsid w:val="00A66356"/>
    <w:rsid w:val="00A702DB"/>
    <w:rsid w:val="00A77840"/>
    <w:rsid w:val="00A82DC8"/>
    <w:rsid w:val="00A966D0"/>
    <w:rsid w:val="00AA4740"/>
    <w:rsid w:val="00AC47D4"/>
    <w:rsid w:val="00AD2C31"/>
    <w:rsid w:val="00AD3172"/>
    <w:rsid w:val="00AD430B"/>
    <w:rsid w:val="00AE1FFC"/>
    <w:rsid w:val="00AE3A62"/>
    <w:rsid w:val="00AF7D52"/>
    <w:rsid w:val="00B1031E"/>
    <w:rsid w:val="00B148A8"/>
    <w:rsid w:val="00B237F8"/>
    <w:rsid w:val="00B35456"/>
    <w:rsid w:val="00B5225F"/>
    <w:rsid w:val="00B63D54"/>
    <w:rsid w:val="00B7624C"/>
    <w:rsid w:val="00B82354"/>
    <w:rsid w:val="00B84C07"/>
    <w:rsid w:val="00B84DD6"/>
    <w:rsid w:val="00B875E4"/>
    <w:rsid w:val="00BC4508"/>
    <w:rsid w:val="00BC6C5F"/>
    <w:rsid w:val="00BD06B1"/>
    <w:rsid w:val="00BD3C9B"/>
    <w:rsid w:val="00BF2D74"/>
    <w:rsid w:val="00C30A69"/>
    <w:rsid w:val="00C349C0"/>
    <w:rsid w:val="00C47BB2"/>
    <w:rsid w:val="00C75040"/>
    <w:rsid w:val="00C81A39"/>
    <w:rsid w:val="00CA7743"/>
    <w:rsid w:val="00CD4149"/>
    <w:rsid w:val="00CD52C9"/>
    <w:rsid w:val="00CE01B9"/>
    <w:rsid w:val="00D04B73"/>
    <w:rsid w:val="00D05BAF"/>
    <w:rsid w:val="00D1190B"/>
    <w:rsid w:val="00D15E0D"/>
    <w:rsid w:val="00D251F3"/>
    <w:rsid w:val="00D30367"/>
    <w:rsid w:val="00D36144"/>
    <w:rsid w:val="00D41297"/>
    <w:rsid w:val="00D466D9"/>
    <w:rsid w:val="00D5420C"/>
    <w:rsid w:val="00D61D79"/>
    <w:rsid w:val="00D61FB5"/>
    <w:rsid w:val="00D75CC8"/>
    <w:rsid w:val="00D91691"/>
    <w:rsid w:val="00D932D9"/>
    <w:rsid w:val="00D94AC2"/>
    <w:rsid w:val="00DB140E"/>
    <w:rsid w:val="00DD64C9"/>
    <w:rsid w:val="00DE75CA"/>
    <w:rsid w:val="00E03A5B"/>
    <w:rsid w:val="00E3466B"/>
    <w:rsid w:val="00E350C9"/>
    <w:rsid w:val="00E36AAC"/>
    <w:rsid w:val="00E4580C"/>
    <w:rsid w:val="00E62493"/>
    <w:rsid w:val="00E64B7B"/>
    <w:rsid w:val="00E64DF6"/>
    <w:rsid w:val="00E74CFC"/>
    <w:rsid w:val="00E7759C"/>
    <w:rsid w:val="00E82C75"/>
    <w:rsid w:val="00E86CED"/>
    <w:rsid w:val="00EA64F9"/>
    <w:rsid w:val="00EA7066"/>
    <w:rsid w:val="00EC1C42"/>
    <w:rsid w:val="00ED4400"/>
    <w:rsid w:val="00ED5B2A"/>
    <w:rsid w:val="00F522C1"/>
    <w:rsid w:val="00F71620"/>
    <w:rsid w:val="00F83283"/>
    <w:rsid w:val="00F86261"/>
    <w:rsid w:val="00F94766"/>
    <w:rsid w:val="00FB469B"/>
    <w:rsid w:val="00FC08E7"/>
    <w:rsid w:val="00FF4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9A23AFB-6C49-498C-BCD6-2A6D43B6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qFormat/>
    <w:pPr>
      <w:keepNext/>
      <w:jc w:val="center"/>
      <w:outlineLvl w:val="1"/>
    </w:pPr>
    <w:rPr>
      <w:rFonts w:ascii="Arial" w:hAnsi="Arial"/>
      <w:b/>
      <w:sz w:val="22"/>
    </w:rPr>
  </w:style>
  <w:style w:type="paragraph" w:styleId="Heading3">
    <w:name w:val="heading 3"/>
    <w:basedOn w:val="Normal"/>
    <w:next w:val="Normal"/>
    <w:link w:val="Heading3Char"/>
    <w:qFormat/>
    <w:pPr>
      <w:keepNext/>
      <w:jc w:val="center"/>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cs="Arial"/>
      <w:b/>
      <w:sz w:val="28"/>
    </w:rPr>
  </w:style>
  <w:style w:type="paragraph" w:styleId="Heading5">
    <w:name w:val="heading 5"/>
    <w:basedOn w:val="Normal"/>
    <w:next w:val="Normal"/>
    <w:link w:val="Heading5Char"/>
    <w:qFormat/>
    <w:pPr>
      <w:keepNext/>
      <w:jc w:val="right"/>
      <w:outlineLvl w:val="4"/>
    </w:pPr>
    <w:rPr>
      <w:rFonts w:ascii="Arial" w:hAnsi="Arial"/>
      <w:b/>
      <w:sz w:val="24"/>
      <w:szCs w:val="24"/>
    </w:rPr>
  </w:style>
  <w:style w:type="paragraph" w:styleId="Heading6">
    <w:name w:val="heading 6"/>
    <w:basedOn w:val="Normal"/>
    <w:next w:val="Normal"/>
    <w:qFormat/>
    <w:pPr>
      <w:keepNext/>
      <w:jc w:val="right"/>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Arial" w:hAnsi="Arial"/>
      <w:b/>
      <w:bCs/>
      <w:sz w:val="36"/>
    </w:rPr>
  </w:style>
  <w:style w:type="paragraph" w:styleId="Header">
    <w:name w:val="header"/>
    <w:basedOn w:val="Normal"/>
    <w:rsid w:val="00DB140E"/>
    <w:pPr>
      <w:tabs>
        <w:tab w:val="center" w:pos="4320"/>
        <w:tab w:val="right" w:pos="8640"/>
      </w:tabs>
    </w:pPr>
  </w:style>
  <w:style w:type="character" w:customStyle="1" w:styleId="Heading2Char">
    <w:name w:val="Heading 2 Char"/>
    <w:link w:val="Heading2"/>
    <w:rsid w:val="00B148A8"/>
    <w:rPr>
      <w:rFonts w:ascii="Arial" w:hAnsi="Arial"/>
      <w:b/>
      <w:sz w:val="22"/>
    </w:rPr>
  </w:style>
  <w:style w:type="paragraph" w:styleId="ListParagraph">
    <w:name w:val="List Paragraph"/>
    <w:basedOn w:val="Normal"/>
    <w:uiPriority w:val="34"/>
    <w:qFormat/>
    <w:rsid w:val="00BD06B1"/>
    <w:pPr>
      <w:ind w:left="720"/>
    </w:pPr>
    <w:rPr>
      <w:rFonts w:ascii="Calibri" w:eastAsia="Calibri" w:hAnsi="Calibri"/>
      <w:sz w:val="22"/>
      <w:szCs w:val="22"/>
    </w:rPr>
  </w:style>
  <w:style w:type="character" w:customStyle="1" w:styleId="Heading5Char">
    <w:name w:val="Heading 5 Char"/>
    <w:link w:val="Heading5"/>
    <w:rsid w:val="005A0BF9"/>
    <w:rPr>
      <w:rFonts w:ascii="Arial" w:hAnsi="Arial"/>
      <w:b/>
      <w:sz w:val="24"/>
      <w:szCs w:val="24"/>
      <w:lang w:val="en-US" w:eastAsia="en-US"/>
    </w:rPr>
  </w:style>
  <w:style w:type="character" w:customStyle="1" w:styleId="Heading3Char">
    <w:name w:val="Heading 3 Char"/>
    <w:link w:val="Heading3"/>
    <w:rsid w:val="002730DA"/>
    <w:rPr>
      <w:rFonts w:ascii="Arial" w:hAnsi="Arial"/>
      <w:b/>
      <w:sz w:val="24"/>
      <w:lang w:val="en-US" w:eastAsia="en-US"/>
    </w:rPr>
  </w:style>
  <w:style w:type="table" w:styleId="TableGrid">
    <w:name w:val="Table Grid"/>
    <w:basedOn w:val="TableNormal"/>
    <w:rsid w:val="00994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85FA0"/>
    <w:rPr>
      <w:rFonts w:ascii="Segoe UI" w:hAnsi="Segoe UI" w:cs="Segoe UI"/>
      <w:sz w:val="18"/>
      <w:szCs w:val="18"/>
    </w:rPr>
  </w:style>
  <w:style w:type="character" w:customStyle="1" w:styleId="BalloonTextChar">
    <w:name w:val="Balloon Text Char"/>
    <w:link w:val="BalloonText"/>
    <w:rsid w:val="00085FA0"/>
    <w:rPr>
      <w:rFonts w:ascii="Segoe UI" w:hAnsi="Segoe UI" w:cs="Segoe UI"/>
      <w:sz w:val="18"/>
      <w:szCs w:val="18"/>
    </w:rPr>
  </w:style>
  <w:style w:type="character" w:customStyle="1" w:styleId="UnresolvedMention">
    <w:name w:val="Unresolved Mention"/>
    <w:uiPriority w:val="99"/>
    <w:semiHidden/>
    <w:unhideWhenUsed/>
    <w:rsid w:val="003144A6"/>
    <w:rPr>
      <w:color w:val="808080"/>
      <w:shd w:val="clear" w:color="auto" w:fill="E6E6E6"/>
    </w:rPr>
  </w:style>
  <w:style w:type="paragraph" w:styleId="CommentText">
    <w:name w:val="annotation text"/>
    <w:basedOn w:val="Normal"/>
    <w:link w:val="CommentTextChar"/>
    <w:uiPriority w:val="99"/>
    <w:unhideWhenUsed/>
    <w:rsid w:val="00094D7B"/>
    <w:pPr>
      <w:spacing w:after="200"/>
    </w:pPr>
    <w:rPr>
      <w:rFonts w:ascii="Calibri" w:eastAsia="Calibri" w:hAnsi="Calibri"/>
      <w:lang w:val="en-CA"/>
    </w:rPr>
  </w:style>
  <w:style w:type="character" w:customStyle="1" w:styleId="CommentTextChar">
    <w:name w:val="Comment Text Char"/>
    <w:link w:val="CommentText"/>
    <w:uiPriority w:val="99"/>
    <w:rsid w:val="00094D7B"/>
    <w:rPr>
      <w:rFonts w:ascii="Calibri" w:eastAsia="Calibri" w:hAnsi="Calibri"/>
      <w:lang w:eastAsia="en-US"/>
    </w:rPr>
  </w:style>
  <w:style w:type="character" w:styleId="CommentReference">
    <w:name w:val="annotation reference"/>
    <w:rsid w:val="00BD3C9B"/>
    <w:rPr>
      <w:sz w:val="16"/>
      <w:szCs w:val="16"/>
    </w:rPr>
  </w:style>
  <w:style w:type="paragraph" w:styleId="CommentSubject">
    <w:name w:val="annotation subject"/>
    <w:basedOn w:val="CommentText"/>
    <w:next w:val="CommentText"/>
    <w:link w:val="CommentSubjectChar"/>
    <w:rsid w:val="00BD3C9B"/>
    <w:pPr>
      <w:spacing w:after="0"/>
    </w:pPr>
    <w:rPr>
      <w:rFonts w:ascii="Times New Roman" w:eastAsia="Times New Roman" w:hAnsi="Times New Roman"/>
      <w:b/>
      <w:bCs/>
      <w:lang w:val="en-US"/>
    </w:rPr>
  </w:style>
  <w:style w:type="character" w:customStyle="1" w:styleId="CommentSubjectChar">
    <w:name w:val="Comment Subject Char"/>
    <w:link w:val="CommentSubject"/>
    <w:rsid w:val="00BD3C9B"/>
    <w:rPr>
      <w:rFonts w:ascii="Calibri" w:eastAsia="Calibri" w:hAnsi="Calibri"/>
      <w:b/>
      <w:bCs/>
      <w:lang w:val="en-US" w:eastAsia="en-US"/>
    </w:rPr>
  </w:style>
  <w:style w:type="character" w:customStyle="1" w:styleId="FooterChar">
    <w:name w:val="Footer Char"/>
    <w:link w:val="Footer"/>
    <w:uiPriority w:val="99"/>
    <w:rsid w:val="006A0C9B"/>
    <w:rPr>
      <w:lang w:val="en-US" w:eastAsia="en-US"/>
    </w:rPr>
  </w:style>
  <w:style w:type="paragraph" w:styleId="NormalWeb">
    <w:name w:val="Normal (Web)"/>
    <w:basedOn w:val="Normal"/>
    <w:uiPriority w:val="99"/>
    <w:unhideWhenUsed/>
    <w:rsid w:val="00026B45"/>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82082">
      <w:bodyDiv w:val="1"/>
      <w:marLeft w:val="0"/>
      <w:marRight w:val="0"/>
      <w:marTop w:val="0"/>
      <w:marBottom w:val="0"/>
      <w:divBdr>
        <w:top w:val="none" w:sz="0" w:space="0" w:color="auto"/>
        <w:left w:val="none" w:sz="0" w:space="0" w:color="auto"/>
        <w:bottom w:val="none" w:sz="0" w:space="0" w:color="auto"/>
        <w:right w:val="none" w:sz="0" w:space="0" w:color="auto"/>
      </w:divBdr>
    </w:div>
    <w:div w:id="510335008">
      <w:bodyDiv w:val="1"/>
      <w:marLeft w:val="0"/>
      <w:marRight w:val="0"/>
      <w:marTop w:val="0"/>
      <w:marBottom w:val="0"/>
      <w:divBdr>
        <w:top w:val="none" w:sz="0" w:space="0" w:color="auto"/>
        <w:left w:val="none" w:sz="0" w:space="0" w:color="auto"/>
        <w:bottom w:val="none" w:sz="0" w:space="0" w:color="auto"/>
        <w:right w:val="none" w:sz="0" w:space="0" w:color="auto"/>
      </w:divBdr>
    </w:div>
    <w:div w:id="1636525855">
      <w:bodyDiv w:val="1"/>
      <w:marLeft w:val="0"/>
      <w:marRight w:val="0"/>
      <w:marTop w:val="0"/>
      <w:marBottom w:val="0"/>
      <w:divBdr>
        <w:top w:val="none" w:sz="0" w:space="0" w:color="auto"/>
        <w:left w:val="none" w:sz="0" w:space="0" w:color="auto"/>
        <w:bottom w:val="none" w:sz="0" w:space="0" w:color="auto"/>
        <w:right w:val="none" w:sz="0" w:space="0" w:color="auto"/>
      </w:divBdr>
    </w:div>
    <w:div w:id="1817992015">
      <w:bodyDiv w:val="1"/>
      <w:marLeft w:val="0"/>
      <w:marRight w:val="0"/>
      <w:marTop w:val="0"/>
      <w:marBottom w:val="0"/>
      <w:divBdr>
        <w:top w:val="none" w:sz="0" w:space="0" w:color="auto"/>
        <w:left w:val="none" w:sz="0" w:space="0" w:color="auto"/>
        <w:bottom w:val="none" w:sz="0" w:space="0" w:color="auto"/>
        <w:right w:val="none" w:sz="0" w:space="0" w:color="auto"/>
      </w:divBdr>
    </w:div>
    <w:div w:id="1860393922">
      <w:bodyDiv w:val="1"/>
      <w:marLeft w:val="0"/>
      <w:marRight w:val="0"/>
      <w:marTop w:val="0"/>
      <w:marBottom w:val="0"/>
      <w:divBdr>
        <w:top w:val="none" w:sz="0" w:space="0" w:color="auto"/>
        <w:left w:val="none" w:sz="0" w:space="0" w:color="auto"/>
        <w:bottom w:val="none" w:sz="0" w:space="0" w:color="auto"/>
        <w:right w:val="none" w:sz="0" w:space="0" w:color="auto"/>
      </w:divBdr>
    </w:div>
    <w:div w:id="1860660654">
      <w:bodyDiv w:val="1"/>
      <w:marLeft w:val="0"/>
      <w:marRight w:val="0"/>
      <w:marTop w:val="0"/>
      <w:marBottom w:val="0"/>
      <w:divBdr>
        <w:top w:val="none" w:sz="0" w:space="0" w:color="auto"/>
        <w:left w:val="none" w:sz="0" w:space="0" w:color="auto"/>
        <w:bottom w:val="none" w:sz="0" w:space="0" w:color="auto"/>
        <w:right w:val="none" w:sz="0" w:space="0" w:color="auto"/>
      </w:divBdr>
    </w:div>
    <w:div w:id="198176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amiltoncommunityfoundation.ca/N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46477-6BE0-478B-A375-442B8F85F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859</Words>
  <Characters>4897</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HAMILTON COMMUNITY FOUNDATION LOGO</vt:lpstr>
    </vt:vector>
  </TitlesOfParts>
  <Company>Microsoft</Company>
  <LinksUpToDate>false</LinksUpToDate>
  <CharactersWithSpaces>5745</CharactersWithSpaces>
  <SharedDoc>false</SharedDoc>
  <HLinks>
    <vt:vector size="108" baseType="variant">
      <vt:variant>
        <vt:i4>524345</vt:i4>
      </vt:variant>
      <vt:variant>
        <vt:i4>241</vt:i4>
      </vt:variant>
      <vt:variant>
        <vt:i4>0</vt:i4>
      </vt:variant>
      <vt:variant>
        <vt:i4>5</vt:i4>
      </vt:variant>
      <vt:variant>
        <vt:lpwstr>mailto:research@hamiltoncommunityfoundation.ca</vt:lpwstr>
      </vt:variant>
      <vt:variant>
        <vt:lpwstr/>
      </vt:variant>
      <vt:variant>
        <vt:i4>786455</vt:i4>
      </vt:variant>
      <vt:variant>
        <vt:i4>177</vt:i4>
      </vt:variant>
      <vt:variant>
        <vt:i4>0</vt:i4>
      </vt:variant>
      <vt:variant>
        <vt:i4>5</vt:i4>
      </vt:variant>
      <vt:variant>
        <vt:lpwstr>http://www.hamiltoncommunityfoundation.ca/NAS</vt:lpwstr>
      </vt:variant>
      <vt:variant>
        <vt:lpwstr/>
      </vt:variant>
      <vt:variant>
        <vt:i4>786455</vt:i4>
      </vt:variant>
      <vt:variant>
        <vt:i4>174</vt:i4>
      </vt:variant>
      <vt:variant>
        <vt:i4>0</vt:i4>
      </vt:variant>
      <vt:variant>
        <vt:i4>5</vt:i4>
      </vt:variant>
      <vt:variant>
        <vt:lpwstr>http://www.hamiltoncommunityfoundation.ca/NAS</vt:lpwstr>
      </vt:variant>
      <vt:variant>
        <vt:lpwstr/>
      </vt:variant>
      <vt:variant>
        <vt:i4>3932282</vt:i4>
      </vt:variant>
      <vt:variant>
        <vt:i4>168</vt:i4>
      </vt:variant>
      <vt:variant>
        <vt:i4>0</vt:i4>
      </vt:variant>
      <vt:variant>
        <vt:i4>5</vt:i4>
      </vt:variant>
      <vt:variant>
        <vt:lpwstr>https://www.hwdsb.on.ca/community/partnerships/facilities-partnerships/application/</vt:lpwstr>
      </vt:variant>
      <vt:variant>
        <vt:lpwstr/>
      </vt:variant>
      <vt:variant>
        <vt:i4>786463</vt:i4>
      </vt:variant>
      <vt:variant>
        <vt:i4>165</vt:i4>
      </vt:variant>
      <vt:variant>
        <vt:i4>0</vt:i4>
      </vt:variant>
      <vt:variant>
        <vt:i4>5</vt:i4>
      </vt:variant>
      <vt:variant>
        <vt:lpwstr>https://www.hwcdsb.ca/support/communityuseofschools/</vt:lpwstr>
      </vt:variant>
      <vt:variant>
        <vt:lpwstr/>
      </vt:variant>
      <vt:variant>
        <vt:i4>4259955</vt:i4>
      </vt:variant>
      <vt:variant>
        <vt:i4>162</vt:i4>
      </vt:variant>
      <vt:variant>
        <vt:i4>0</vt:i4>
      </vt:variant>
      <vt:variant>
        <vt:i4>5</vt:i4>
      </vt:variant>
      <vt:variant>
        <vt:lpwstr>mailto:SEAT@hamilton.ca</vt:lpwstr>
      </vt:variant>
      <vt:variant>
        <vt:lpwstr/>
      </vt:variant>
      <vt:variant>
        <vt:i4>2949245</vt:i4>
      </vt:variant>
      <vt:variant>
        <vt:i4>159</vt:i4>
      </vt:variant>
      <vt:variant>
        <vt:i4>0</vt:i4>
      </vt:variant>
      <vt:variant>
        <vt:i4>5</vt:i4>
      </vt:variant>
      <vt:variant>
        <vt:lpwstr>https://www.hamilton.ca/life-events/hosting-events/seat-guidelines</vt:lpwstr>
      </vt:variant>
      <vt:variant>
        <vt:lpwstr/>
      </vt:variant>
      <vt:variant>
        <vt:i4>524345</vt:i4>
      </vt:variant>
      <vt:variant>
        <vt:i4>150</vt:i4>
      </vt:variant>
      <vt:variant>
        <vt:i4>0</vt:i4>
      </vt:variant>
      <vt:variant>
        <vt:i4>5</vt:i4>
      </vt:variant>
      <vt:variant>
        <vt:lpwstr>mailto:research@hamiltoncommunityfoundation.ca</vt:lpwstr>
      </vt:variant>
      <vt:variant>
        <vt:lpwstr/>
      </vt:variant>
      <vt:variant>
        <vt:i4>786455</vt:i4>
      </vt:variant>
      <vt:variant>
        <vt:i4>147</vt:i4>
      </vt:variant>
      <vt:variant>
        <vt:i4>0</vt:i4>
      </vt:variant>
      <vt:variant>
        <vt:i4>5</vt:i4>
      </vt:variant>
      <vt:variant>
        <vt:lpwstr>http://www.hamiltoncommunityfoundation.ca/NAS</vt:lpwstr>
      </vt:variant>
      <vt:variant>
        <vt:lpwstr/>
      </vt:variant>
      <vt:variant>
        <vt:i4>786455</vt:i4>
      </vt:variant>
      <vt:variant>
        <vt:i4>24</vt:i4>
      </vt:variant>
      <vt:variant>
        <vt:i4>0</vt:i4>
      </vt:variant>
      <vt:variant>
        <vt:i4>5</vt:i4>
      </vt:variant>
      <vt:variant>
        <vt:lpwstr>http://www.hamiltoncommunityfoundation.ca/NAS</vt:lpwstr>
      </vt:variant>
      <vt:variant>
        <vt:lpwstr/>
      </vt:variant>
      <vt:variant>
        <vt:i4>5963811</vt:i4>
      </vt:variant>
      <vt:variant>
        <vt:i4>21</vt:i4>
      </vt:variant>
      <vt:variant>
        <vt:i4>0</vt:i4>
      </vt:variant>
      <vt:variant>
        <vt:i4>5</vt:i4>
      </vt:variant>
      <vt:variant>
        <vt:lpwstr>mailto:s.glen@hamitoncommunityfoundation.ca</vt:lpwstr>
      </vt:variant>
      <vt:variant>
        <vt:lpwstr/>
      </vt:variant>
      <vt:variant>
        <vt:i4>8323075</vt:i4>
      </vt:variant>
      <vt:variant>
        <vt:i4>18</vt:i4>
      </vt:variant>
      <vt:variant>
        <vt:i4>0</vt:i4>
      </vt:variant>
      <vt:variant>
        <vt:i4>5</vt:i4>
      </vt:variant>
      <vt:variant>
        <vt:lpwstr>mailto:s.angrish@hamiltoncommunityfoundation.ca</vt:lpwstr>
      </vt:variant>
      <vt:variant>
        <vt:lpwstr/>
      </vt:variant>
      <vt:variant>
        <vt:i4>8192009</vt:i4>
      </vt:variant>
      <vt:variant>
        <vt:i4>15</vt:i4>
      </vt:variant>
      <vt:variant>
        <vt:i4>0</vt:i4>
      </vt:variant>
      <vt:variant>
        <vt:i4>5</vt:i4>
      </vt:variant>
      <vt:variant>
        <vt:lpwstr>mailto:n.zeb@hamiltoncommunityfoundation.ca</vt:lpwstr>
      </vt:variant>
      <vt:variant>
        <vt:lpwstr/>
      </vt:variant>
      <vt:variant>
        <vt:i4>7602202</vt:i4>
      </vt:variant>
      <vt:variant>
        <vt:i4>12</vt:i4>
      </vt:variant>
      <vt:variant>
        <vt:i4>0</vt:i4>
      </vt:variant>
      <vt:variant>
        <vt:i4>5</vt:i4>
      </vt:variant>
      <vt:variant>
        <vt:lpwstr>mailto:l.ryan@hamiltoncommunityfoundation.ca</vt:lpwstr>
      </vt:variant>
      <vt:variant>
        <vt:lpwstr/>
      </vt:variant>
      <vt:variant>
        <vt:i4>7340040</vt:i4>
      </vt:variant>
      <vt:variant>
        <vt:i4>9</vt:i4>
      </vt:variant>
      <vt:variant>
        <vt:i4>0</vt:i4>
      </vt:variant>
      <vt:variant>
        <vt:i4>5</vt:i4>
      </vt:variant>
      <vt:variant>
        <vt:lpwstr>mailto:j.kloosterman@hamiltoncommunityfoundation.ca</vt:lpwstr>
      </vt:variant>
      <vt:variant>
        <vt:lpwstr/>
      </vt:variant>
      <vt:variant>
        <vt:i4>1572929</vt:i4>
      </vt:variant>
      <vt:variant>
        <vt:i4>6</vt:i4>
      </vt:variant>
      <vt:variant>
        <vt:i4>0</vt:i4>
      </vt:variant>
      <vt:variant>
        <vt:i4>5</vt:i4>
      </vt:variant>
      <vt:variant>
        <vt:lpwstr>http://www.reimaginingnas.ca/</vt:lpwstr>
      </vt:variant>
      <vt:variant>
        <vt:lpwstr/>
      </vt:variant>
      <vt:variant>
        <vt:i4>524345</vt:i4>
      </vt:variant>
      <vt:variant>
        <vt:i4>3</vt:i4>
      </vt:variant>
      <vt:variant>
        <vt:i4>0</vt:i4>
      </vt:variant>
      <vt:variant>
        <vt:i4>5</vt:i4>
      </vt:variant>
      <vt:variant>
        <vt:lpwstr>mailto:research@hamiltoncommunityfoundation.ca</vt:lpwstr>
      </vt:variant>
      <vt:variant>
        <vt:lpwstr/>
      </vt:variant>
      <vt:variant>
        <vt:i4>786455</vt:i4>
      </vt:variant>
      <vt:variant>
        <vt:i4>0</vt:i4>
      </vt:variant>
      <vt:variant>
        <vt:i4>0</vt:i4>
      </vt:variant>
      <vt:variant>
        <vt:i4>5</vt:i4>
      </vt:variant>
      <vt:variant>
        <vt:lpwstr>http://www.hamiltoncommunityfoundation.ca/NAS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COMMUNITY FOUNDATION LOGO</dc:title>
  <dc:subject/>
  <dc:creator>MW</dc:creator>
  <cp:keywords/>
  <dc:description/>
  <cp:lastModifiedBy>Tyrone Dollano</cp:lastModifiedBy>
  <cp:revision>4</cp:revision>
  <cp:lastPrinted>2017-06-16T16:04:00Z</cp:lastPrinted>
  <dcterms:created xsi:type="dcterms:W3CDTF">2018-03-29T03:10:00Z</dcterms:created>
  <dcterms:modified xsi:type="dcterms:W3CDTF">2018-03-29T20:15:00Z</dcterms:modified>
</cp:coreProperties>
</file>