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50" w:rsidRDefault="003E6998" w:rsidP="00034E73">
      <w:pPr>
        <w:pStyle w:val="Heading3"/>
        <w:keepNext/>
        <w:keepLines/>
        <w:widowControl/>
        <w:ind w:left="-360" w:hanging="6"/>
        <w:jc w:val="both"/>
        <w:rPr>
          <w:b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1211580</wp:posOffset>
                </wp:positionV>
                <wp:extent cx="5204460" cy="44958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ACE" w:rsidRPr="007963F4" w:rsidRDefault="00020ACE" w:rsidP="00020ACE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C4123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963F4">
                              <w:rPr>
                                <w:rFonts w:ascii="Verdana" w:hAnsi="Verdana"/>
                                <w:b/>
                                <w:color w:val="C41230"/>
                                <w:sz w:val="24"/>
                                <w:szCs w:val="24"/>
                                <w:lang w:val="en-CA"/>
                              </w:rPr>
                              <w:t>CALL FOR PROPOSALS/GUIDELINES</w:t>
                            </w:r>
                            <w:r w:rsidR="00DC7FDB" w:rsidRPr="007963F4">
                              <w:rPr>
                                <w:rFonts w:ascii="Verdana" w:hAnsi="Verdana"/>
                                <w:b/>
                                <w:color w:val="C41230"/>
                                <w:sz w:val="24"/>
                                <w:szCs w:val="24"/>
                                <w:lang w:val="en-CA"/>
                              </w:rPr>
                              <w:t xml:space="preserve"> - 201</w:t>
                            </w:r>
                            <w:r w:rsidR="00400F2C">
                              <w:rPr>
                                <w:rFonts w:ascii="Verdana" w:hAnsi="Verdana"/>
                                <w:b/>
                                <w:color w:val="C41230"/>
                                <w:sz w:val="24"/>
                                <w:szCs w:val="24"/>
                                <w:lang w:val="en-CA"/>
                              </w:rPr>
                              <w:t>9</w:t>
                            </w:r>
                            <w:r w:rsidR="00DC7FDB" w:rsidRPr="007963F4">
                              <w:rPr>
                                <w:rFonts w:ascii="Verdana" w:hAnsi="Verdana"/>
                                <w:b/>
                                <w:color w:val="C41230"/>
                                <w:sz w:val="24"/>
                                <w:szCs w:val="24"/>
                                <w:lang w:val="en-CA"/>
                              </w:rPr>
                              <w:t>-</w:t>
                            </w:r>
                            <w:r w:rsidR="00400F2C">
                              <w:rPr>
                                <w:rFonts w:ascii="Verdana" w:hAnsi="Verdana"/>
                                <w:b/>
                                <w:color w:val="C41230"/>
                                <w:sz w:val="24"/>
                                <w:szCs w:val="24"/>
                                <w:lang w:val="en-CA"/>
                              </w:rPr>
                              <w:t>20</w:t>
                            </w:r>
                          </w:p>
                          <w:p w:rsidR="00DC7FDB" w:rsidRPr="00DC7FDB" w:rsidRDefault="00DC7FDB" w:rsidP="00DC7FD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63F4">
                              <w:rPr>
                                <w:rFonts w:ascii="Verdana" w:hAnsi="Verdana"/>
                                <w:b/>
                                <w:i/>
                                <w:color w:val="C41230"/>
                                <w:sz w:val="24"/>
                                <w:szCs w:val="24"/>
                                <w:u w:val="single"/>
                              </w:rPr>
                              <w:t>Deadline</w:t>
                            </w:r>
                            <w:r w:rsidRPr="007963F4">
                              <w:rPr>
                                <w:rFonts w:ascii="Verdana" w:hAnsi="Verdana"/>
                                <w:b/>
                                <w:i/>
                                <w:color w:val="C41230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00F2C">
                              <w:rPr>
                                <w:rFonts w:ascii="Verdana" w:hAnsi="Verdana"/>
                                <w:b/>
                                <w:i/>
                                <w:color w:val="C41230"/>
                                <w:sz w:val="24"/>
                                <w:szCs w:val="24"/>
                              </w:rPr>
                              <w:t>March 1, 2019</w:t>
                            </w:r>
                          </w:p>
                          <w:p w:rsidR="00DC7FDB" w:rsidRPr="00020ACE" w:rsidRDefault="00DC7FDB" w:rsidP="00020ACE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7.4pt;margin-top:95.4pt;width:409.8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YLggIAABA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5bNQnt64ErzuDfj5AfaB5piqM3e6/uKQ0suWqi2/sVb3LacMwsvCyeTs6Ijj&#10;Asimf68Z3EN3XkegobFdqB1UAwE60PR4oibEUsPmNE8JmYGpBhshxXQeuUtoeTxtrPNvue5QmFTY&#10;AvURne7vnA/R0PLoEi5zWgq2FlLGhd1ultKiPQWZrOMXE3jhJlVwVjocGxHHHQgS7gi2EG6k/XuR&#10;5SS9zYvJeja/nJA1mU6Ky3Q+SbPitpilpCCr9VMIMCNlKxjj6k4ofpRgRv6O4kMzjOKJIkR9hYtp&#10;Ph0p+mOSafx+l2QnPHSkFF2F5ycnWgZi3ygGadPSUyHHefJz+LHKUIPjP1YlyiAwP2rAD5sBUII2&#10;Npo9giCsBr6AWnhGYNJq+w2jHlqywu7rjlqOkXynQFRFRkjo4bgg08scFvbcsjm3UFUDVIU9RuN0&#10;6ce+3xkrti3cNMpY6RsQYiOiRp6jOsgX2i4mc3giQl+fr6PX80O2+AEAAP//AwBQSwMEFAAGAAgA&#10;AAAhAD3cw8/fAAAADAEAAA8AAABkcnMvZG93bnJldi54bWxMj8FOwzAMhu9IvENkJC6IJR2lY6Xp&#10;BEigXTf2AG7jtRVNUjXZ2r093glutr5fvz8Xm9n24kxj6LzTkCwUCHK1N51rNBy+Px9fQISIzmDv&#10;HWm4UIBNeXtTYG785HZ03sdGcIkLOWpoYxxyKUPdksWw8AM5Zkc/Woy8jo00I05cbnu5VCqTFjvH&#10;F1oc6KOl+md/shqO2+nheT1VX/Gw2qXZO3aryl+0vr+b315BRJrjXxiu+qwOJTtV/uRMEL2GZZKy&#10;emSwVjxcE+opTUFUzLIkA1kW8v8T5S8AAAD//wMAUEsBAi0AFAAGAAgAAAAhALaDOJL+AAAA4QEA&#10;ABMAAAAAAAAAAAAAAAAAAAAAAFtDb250ZW50X1R5cGVzXS54bWxQSwECLQAUAAYACAAAACEAOP0h&#10;/9YAAACUAQAACwAAAAAAAAAAAAAAAAAvAQAAX3JlbHMvLnJlbHNQSwECLQAUAAYACAAAACEAn7mm&#10;C4ICAAAQBQAADgAAAAAAAAAAAAAAAAAuAgAAZHJzL2Uyb0RvYy54bWxQSwECLQAUAAYACAAAACEA&#10;PdzDz98AAAAMAQAADwAAAAAAAAAAAAAAAADcBAAAZHJzL2Rvd25yZXYueG1sUEsFBgAAAAAEAAQA&#10;8wAAAOgFAAAAAA==&#10;" stroked="f">
                <v:textbox>
                  <w:txbxContent>
                    <w:p w:rsidR="00020ACE" w:rsidRPr="007963F4" w:rsidRDefault="00020ACE" w:rsidP="00020ACE">
                      <w:pPr>
                        <w:jc w:val="right"/>
                        <w:rPr>
                          <w:rFonts w:ascii="Verdana" w:hAnsi="Verdana"/>
                          <w:b/>
                          <w:color w:val="C41230"/>
                          <w:sz w:val="24"/>
                          <w:szCs w:val="24"/>
                          <w:lang w:val="en-CA"/>
                        </w:rPr>
                      </w:pPr>
                      <w:r w:rsidRPr="007963F4">
                        <w:rPr>
                          <w:rFonts w:ascii="Verdana" w:hAnsi="Verdana"/>
                          <w:b/>
                          <w:color w:val="C41230"/>
                          <w:sz w:val="24"/>
                          <w:szCs w:val="24"/>
                          <w:lang w:val="en-CA"/>
                        </w:rPr>
                        <w:t>CALL FOR PROPOSALS/GUIDELINES</w:t>
                      </w:r>
                      <w:r w:rsidR="00DC7FDB" w:rsidRPr="007963F4">
                        <w:rPr>
                          <w:rFonts w:ascii="Verdana" w:hAnsi="Verdana"/>
                          <w:b/>
                          <w:color w:val="C41230"/>
                          <w:sz w:val="24"/>
                          <w:szCs w:val="24"/>
                          <w:lang w:val="en-CA"/>
                        </w:rPr>
                        <w:t xml:space="preserve"> - 201</w:t>
                      </w:r>
                      <w:r w:rsidR="00400F2C">
                        <w:rPr>
                          <w:rFonts w:ascii="Verdana" w:hAnsi="Verdana"/>
                          <w:b/>
                          <w:color w:val="C41230"/>
                          <w:sz w:val="24"/>
                          <w:szCs w:val="24"/>
                          <w:lang w:val="en-CA"/>
                        </w:rPr>
                        <w:t>9</w:t>
                      </w:r>
                      <w:r w:rsidR="00DC7FDB" w:rsidRPr="007963F4">
                        <w:rPr>
                          <w:rFonts w:ascii="Verdana" w:hAnsi="Verdana"/>
                          <w:b/>
                          <w:color w:val="C41230"/>
                          <w:sz w:val="24"/>
                          <w:szCs w:val="24"/>
                          <w:lang w:val="en-CA"/>
                        </w:rPr>
                        <w:t>-</w:t>
                      </w:r>
                      <w:r w:rsidR="00400F2C">
                        <w:rPr>
                          <w:rFonts w:ascii="Verdana" w:hAnsi="Verdana"/>
                          <w:b/>
                          <w:color w:val="C41230"/>
                          <w:sz w:val="24"/>
                          <w:szCs w:val="24"/>
                          <w:lang w:val="en-CA"/>
                        </w:rPr>
                        <w:t>20</w:t>
                      </w:r>
                    </w:p>
                    <w:p w:rsidR="00DC7FDB" w:rsidRPr="00DC7FDB" w:rsidRDefault="00DC7FDB" w:rsidP="00DC7FDB">
                      <w:pPr>
                        <w:jc w:val="right"/>
                        <w:rPr>
                          <w:rFonts w:ascii="Verdana" w:hAnsi="Verdana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7963F4">
                        <w:rPr>
                          <w:rFonts w:ascii="Verdana" w:hAnsi="Verdana"/>
                          <w:b/>
                          <w:i/>
                          <w:color w:val="C41230"/>
                          <w:sz w:val="24"/>
                          <w:szCs w:val="24"/>
                          <w:u w:val="single"/>
                        </w:rPr>
                        <w:t>Deadline</w:t>
                      </w:r>
                      <w:r w:rsidRPr="007963F4">
                        <w:rPr>
                          <w:rFonts w:ascii="Verdana" w:hAnsi="Verdana"/>
                          <w:b/>
                          <w:i/>
                          <w:color w:val="C41230"/>
                          <w:sz w:val="24"/>
                          <w:szCs w:val="24"/>
                        </w:rPr>
                        <w:t xml:space="preserve">:  </w:t>
                      </w:r>
                      <w:r w:rsidR="00400F2C">
                        <w:rPr>
                          <w:rFonts w:ascii="Verdana" w:hAnsi="Verdana"/>
                          <w:b/>
                          <w:i/>
                          <w:color w:val="C41230"/>
                          <w:sz w:val="24"/>
                          <w:szCs w:val="24"/>
                        </w:rPr>
                        <w:t>March 1, 2019</w:t>
                      </w:r>
                    </w:p>
                    <w:p w:rsidR="00DC7FDB" w:rsidRPr="00020ACE" w:rsidRDefault="00DC7FDB" w:rsidP="00020ACE">
                      <w:pPr>
                        <w:jc w:val="right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211455</wp:posOffset>
                </wp:positionV>
                <wp:extent cx="3335020" cy="100012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ACE" w:rsidRDefault="003E6998" w:rsidP="00DC7FDB">
                            <w:pPr>
                              <w:jc w:val="right"/>
                            </w:pPr>
                            <w:r w:rsidRPr="00020ACE"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3148330" cy="905510"/>
                                  <wp:effectExtent l="0" t="0" r="0" b="0"/>
                                  <wp:docPr id="2" name="Picture 2" descr="ABACUS-15-01_MainLogoPost_Aug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BACUS-15-01_MainLogoPost_Aug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833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60.6pt;margin-top:16.65pt;width:262.6pt;height:78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WAuAIAAMAFAAAOAAAAZHJzL2Uyb0RvYy54bWysVNtunDAQfa/Uf7D8TjCs9wIKGyXLUlVK&#10;L1LSD/CCWayCjWxn2bTqv3ds9pbkpWrLA7I94zNnZo7n+mbftWjHtRFKZji6IhhxWapKyG2Gvz0W&#10;wQIjY5msWKskz/AzN/hm+f7d9dCnPFaNaiuuEYBIkw59hhtr+zQMTdnwjpkr1XMJxlrpjlnY6m1Y&#10;aTYAeteGMSGzcFC66rUquTFwmo9GvPT4dc1L+6WuDbeozTBws/6v/X/j/uHymqVbzfpGlAca7C9Y&#10;dExICHqCypll6EmLN1CdKLUyqrZXpepCVdei5D4HyCYir7J5aFjPfS5QHNOfymT+H2z5efdVI1Fl&#10;eIKRZB206JHvLbpTexRPXXmG3qTg9dCDn93DObTZp2r6e1V+N0iqVcPklt9qrYaGswroRe5meHF1&#10;xDEOZDN8UhXEYU9WeaB9rTtXO6gGAnRo0/OpNY5LCYeTyWRKYjCVYIsIIdHILmTp8Xqvjf3AVYfc&#10;IsMaeu/h2e7eWEeHpUcXF02qQrSt738rXxyA43gCweGqszkavp0/E5KsF+sFDWg8WweU5HlwW6xo&#10;MCui+TSf5KtVHv1ycSOaNqKquHRhjtKK6J+17iDyURQncRnVisrBOUpGbzerVqMdA2kX/vNFB8vZ&#10;LXxJwxcBcnmVUhRTchcnQTFbzANa0GmQzMkiIFFyl8wITWhevEzpXkj+7ymhIcPJFPro0zmTfpUb&#10;NBu+t7mxtBMWhkcrugwvTk4sdRpcy8q31jLRjuuLUjj651JAu4+N9op1Ih3lavebvX8bXs5OzRtV&#10;PYOEtQKBgRhh8MGiUfoHRgMMkQxLmHIYtR8lPIIkotTNHL+h07mTr760bC4tTJYAlGGL0bhc2XFO&#10;PfVabBuIc3x2t/BwCuElfeZ0eG4wJnxmh5Hm5tDl3nudB+/yNwAAAP//AwBQSwMEFAAGAAgAAAAh&#10;AGEoKjjfAAAACwEAAA8AAABkcnMvZG93bnJldi54bWxMj8tOwzAQRfdI/IM1SOyonUerNMSpUIF1&#10;ofABbjzEIfE4it028PV1V7Cb0RzdObfazHZgJ5x850hCshDAkBqnO2olfH68PhTAfFCk1eAIJfyg&#10;h019e1OpUrszveNpH1oWQ8iXSoIJYSw5941Bq/zCjUjx9uUmq0Jcp5brSZ1juB14KsSKW9VR/GDU&#10;iFuDTb8/WgmFsLu+X6dv3ua/ydJsn93L+C3l/d389Ags4Bz+YLjqR3Woo9PBHUl7NkhYpkkaUQlZ&#10;lgG7AiJf5cAOcVqLAnhd8f8d6gsAAAD//wMAUEsBAi0AFAAGAAgAAAAhALaDOJL+AAAA4QEAABMA&#10;AAAAAAAAAAAAAAAAAAAAAFtDb250ZW50X1R5cGVzXS54bWxQSwECLQAUAAYACAAAACEAOP0h/9YA&#10;AACUAQAACwAAAAAAAAAAAAAAAAAvAQAAX3JlbHMvLnJlbHNQSwECLQAUAAYACAAAACEAE74VgLgC&#10;AADABQAADgAAAAAAAAAAAAAAAAAuAgAAZHJzL2Uyb0RvYy54bWxQSwECLQAUAAYACAAAACEAYSgq&#10;ON8AAAALAQAADwAAAAAAAAAAAAAAAAASBQAAZHJzL2Rvd25yZXYueG1sUEsFBgAAAAAEAAQA8wAA&#10;AB4GAAAAAA==&#10;" filled="f" stroked="f">
                <v:textbox style="mso-fit-shape-to-text:t">
                  <w:txbxContent>
                    <w:p w:rsidR="00020ACE" w:rsidRDefault="003E6998" w:rsidP="00DC7FDB">
                      <w:pPr>
                        <w:jc w:val="right"/>
                      </w:pPr>
                      <w:r w:rsidRPr="00020ACE"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3148330" cy="905510"/>
                            <wp:effectExtent l="0" t="0" r="0" b="0"/>
                            <wp:docPr id="2" name="Picture 2" descr="ABACUS-15-01_MainLogoPost_Aug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BACUS-15-01_MainLogoPost_Aug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833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0ACE">
        <w:rPr>
          <w:b/>
          <w:noProof/>
          <w:sz w:val="22"/>
        </w:rPr>
        <w:drawing>
          <wp:inline distT="0" distB="0" distL="0" distR="0">
            <wp:extent cx="2795270" cy="1259205"/>
            <wp:effectExtent l="0" t="0" r="0" b="0"/>
            <wp:docPr id="1" name="Picture 1" descr="HCF-14-01_VisualIdentity_Primary_8_Wid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-14-01_VisualIdentity_Primary_8_Wide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CE" w:rsidRDefault="00020ACE" w:rsidP="00020ACE"/>
    <w:p w:rsidR="00020ACE" w:rsidRDefault="00020ACE" w:rsidP="00020ACE"/>
    <w:p w:rsidR="00020ACE" w:rsidRPr="00020ACE" w:rsidRDefault="00020ACE" w:rsidP="00020ACE"/>
    <w:p w:rsidR="00665070" w:rsidRPr="007070C3" w:rsidRDefault="00665070" w:rsidP="00524E5E">
      <w:pPr>
        <w:rPr>
          <w:rFonts w:ascii="Verdana" w:hAnsi="Verdana"/>
          <w:sz w:val="22"/>
          <w:szCs w:val="22"/>
        </w:rPr>
      </w:pPr>
      <w:r w:rsidRPr="007070C3">
        <w:rPr>
          <w:rFonts w:ascii="Verdana" w:hAnsi="Verdana"/>
          <w:sz w:val="22"/>
          <w:szCs w:val="22"/>
        </w:rPr>
        <w:t xml:space="preserve">ABACUS is an initiative of the </w:t>
      </w:r>
      <w:r w:rsidR="00B447E1" w:rsidRPr="007070C3">
        <w:rPr>
          <w:rFonts w:ascii="Verdana" w:hAnsi="Verdana"/>
          <w:sz w:val="22"/>
          <w:szCs w:val="22"/>
        </w:rPr>
        <w:t>Hamilton Community Foundation</w:t>
      </w:r>
      <w:r w:rsidRPr="007070C3">
        <w:rPr>
          <w:rFonts w:ascii="Verdana" w:hAnsi="Verdana"/>
          <w:sz w:val="22"/>
          <w:szCs w:val="22"/>
        </w:rPr>
        <w:t xml:space="preserve"> and </w:t>
      </w:r>
      <w:r w:rsidR="00B447E1" w:rsidRPr="007070C3">
        <w:rPr>
          <w:rFonts w:ascii="Verdana" w:hAnsi="Verdana"/>
          <w:sz w:val="22"/>
          <w:szCs w:val="22"/>
        </w:rPr>
        <w:t xml:space="preserve">the </w:t>
      </w:r>
      <w:r w:rsidRPr="007070C3">
        <w:rPr>
          <w:rFonts w:ascii="Verdana" w:hAnsi="Verdana"/>
          <w:sz w:val="22"/>
          <w:szCs w:val="22"/>
        </w:rPr>
        <w:t xml:space="preserve">Fairmount Foundation aimed at supporting academic success and post-secondary access </w:t>
      </w:r>
      <w:r w:rsidR="002E5B8F">
        <w:rPr>
          <w:rFonts w:ascii="Verdana" w:hAnsi="Verdana"/>
          <w:sz w:val="22"/>
          <w:szCs w:val="22"/>
        </w:rPr>
        <w:t>for</w:t>
      </w:r>
      <w:r w:rsidR="00870143">
        <w:rPr>
          <w:rFonts w:ascii="Verdana" w:hAnsi="Verdana"/>
          <w:sz w:val="22"/>
          <w:szCs w:val="22"/>
        </w:rPr>
        <w:t xml:space="preserve"> youth experiencing multiple barriers</w:t>
      </w:r>
      <w:r w:rsidRPr="007070C3">
        <w:rPr>
          <w:rFonts w:ascii="Verdana" w:hAnsi="Verdana"/>
          <w:sz w:val="22"/>
          <w:szCs w:val="22"/>
        </w:rPr>
        <w:t xml:space="preserve">.  ABACUS </w:t>
      </w:r>
      <w:r w:rsidR="00E36265" w:rsidRPr="007070C3">
        <w:rPr>
          <w:rFonts w:ascii="Verdana" w:hAnsi="Verdana"/>
          <w:sz w:val="22"/>
          <w:szCs w:val="22"/>
        </w:rPr>
        <w:t xml:space="preserve">is based on the understanding that decisions and supports that affect high school success and lead to participation in post-secondary </w:t>
      </w:r>
      <w:r w:rsidR="00E36265" w:rsidRPr="00780B4B">
        <w:rPr>
          <w:rFonts w:ascii="Verdana" w:hAnsi="Verdana"/>
          <w:sz w:val="22"/>
          <w:szCs w:val="22"/>
        </w:rPr>
        <w:t>education begin early in a youth’s academic lif</w:t>
      </w:r>
      <w:r w:rsidR="00AF5DBA" w:rsidRPr="00780B4B">
        <w:rPr>
          <w:rFonts w:ascii="Verdana" w:hAnsi="Verdana"/>
          <w:sz w:val="22"/>
          <w:szCs w:val="22"/>
        </w:rPr>
        <w:t xml:space="preserve">e; </w:t>
      </w:r>
      <w:r w:rsidR="00524E5E">
        <w:rPr>
          <w:rFonts w:ascii="Verdana" w:hAnsi="Verdana"/>
          <w:sz w:val="22"/>
          <w:szCs w:val="22"/>
        </w:rPr>
        <w:t xml:space="preserve">and </w:t>
      </w:r>
      <w:r w:rsidR="00E36265" w:rsidRPr="00780B4B">
        <w:rPr>
          <w:rFonts w:ascii="Verdana" w:hAnsi="Verdana"/>
          <w:sz w:val="22"/>
          <w:szCs w:val="22"/>
        </w:rPr>
        <w:t>that successful interventions should begin as early as middle school</w:t>
      </w:r>
      <w:r w:rsidR="00870143" w:rsidRPr="00780B4B">
        <w:rPr>
          <w:rFonts w:ascii="Verdana" w:hAnsi="Verdana"/>
          <w:sz w:val="22"/>
          <w:szCs w:val="22"/>
        </w:rPr>
        <w:t xml:space="preserve">.  It is also based on research that shows this age group is currently underserved. </w:t>
      </w:r>
      <w:r w:rsidR="00E36265" w:rsidRPr="00780B4B">
        <w:rPr>
          <w:rFonts w:ascii="Verdana" w:hAnsi="Verdana"/>
          <w:sz w:val="22"/>
          <w:szCs w:val="22"/>
        </w:rPr>
        <w:t xml:space="preserve">Therefore, </w:t>
      </w:r>
      <w:r w:rsidR="00870143" w:rsidRPr="00780B4B">
        <w:rPr>
          <w:rFonts w:ascii="Verdana" w:hAnsi="Verdana"/>
          <w:sz w:val="22"/>
          <w:szCs w:val="22"/>
        </w:rPr>
        <w:t>ABACUS</w:t>
      </w:r>
      <w:r w:rsidR="00E36265" w:rsidRPr="00780B4B">
        <w:rPr>
          <w:rFonts w:ascii="Verdana" w:hAnsi="Verdana"/>
          <w:sz w:val="22"/>
          <w:szCs w:val="22"/>
        </w:rPr>
        <w:t xml:space="preserve"> will fund</w:t>
      </w:r>
      <w:r w:rsidRPr="00780B4B">
        <w:rPr>
          <w:rFonts w:ascii="Verdana" w:hAnsi="Verdana"/>
          <w:sz w:val="22"/>
          <w:szCs w:val="22"/>
        </w:rPr>
        <w:t xml:space="preserve"> programs </w:t>
      </w:r>
      <w:r w:rsidR="00E36265" w:rsidRPr="00780B4B">
        <w:rPr>
          <w:rFonts w:ascii="Verdana" w:hAnsi="Verdana"/>
          <w:sz w:val="22"/>
          <w:szCs w:val="22"/>
        </w:rPr>
        <w:t xml:space="preserve">that </w:t>
      </w:r>
      <w:r w:rsidRPr="00780B4B">
        <w:rPr>
          <w:rFonts w:ascii="Verdana" w:hAnsi="Verdana"/>
          <w:sz w:val="22"/>
          <w:szCs w:val="22"/>
        </w:rPr>
        <w:t>begin in the middle</w:t>
      </w:r>
      <w:r w:rsidR="00466D4E">
        <w:rPr>
          <w:rFonts w:ascii="Verdana" w:hAnsi="Verdana"/>
          <w:sz w:val="22"/>
          <w:szCs w:val="22"/>
        </w:rPr>
        <w:t>-</w:t>
      </w:r>
      <w:r w:rsidRPr="00780B4B">
        <w:rPr>
          <w:rFonts w:ascii="Verdana" w:hAnsi="Verdana"/>
          <w:sz w:val="22"/>
          <w:szCs w:val="22"/>
        </w:rPr>
        <w:t xml:space="preserve"> school years and focus on improving the </w:t>
      </w:r>
      <w:r w:rsidR="00870143" w:rsidRPr="00780B4B">
        <w:rPr>
          <w:rFonts w:ascii="Verdana" w:hAnsi="Verdana"/>
          <w:sz w:val="22"/>
          <w:szCs w:val="22"/>
        </w:rPr>
        <w:t>academic</w:t>
      </w:r>
      <w:r w:rsidRPr="00780B4B">
        <w:rPr>
          <w:rFonts w:ascii="Verdana" w:hAnsi="Verdana"/>
          <w:sz w:val="22"/>
          <w:szCs w:val="22"/>
        </w:rPr>
        <w:t>, community and environmental factors</w:t>
      </w:r>
      <w:r w:rsidRPr="007070C3">
        <w:rPr>
          <w:rFonts w:ascii="Verdana" w:hAnsi="Verdana"/>
          <w:sz w:val="22"/>
          <w:szCs w:val="22"/>
        </w:rPr>
        <w:t xml:space="preserve"> that </w:t>
      </w:r>
      <w:r w:rsidR="00870143">
        <w:rPr>
          <w:rFonts w:ascii="Verdana" w:hAnsi="Verdana"/>
          <w:sz w:val="22"/>
          <w:szCs w:val="22"/>
        </w:rPr>
        <w:t>have the most direct impact on student</w:t>
      </w:r>
      <w:r w:rsidRPr="007070C3">
        <w:rPr>
          <w:rFonts w:ascii="Verdana" w:hAnsi="Verdana"/>
          <w:sz w:val="22"/>
          <w:szCs w:val="22"/>
        </w:rPr>
        <w:t>s</w:t>
      </w:r>
      <w:r w:rsidR="00870143">
        <w:rPr>
          <w:rFonts w:ascii="Verdana" w:hAnsi="Verdana"/>
          <w:sz w:val="22"/>
          <w:szCs w:val="22"/>
        </w:rPr>
        <w:t>’</w:t>
      </w:r>
      <w:r w:rsidRPr="007070C3">
        <w:rPr>
          <w:rFonts w:ascii="Verdana" w:hAnsi="Verdana"/>
          <w:sz w:val="22"/>
          <w:szCs w:val="22"/>
        </w:rPr>
        <w:t xml:space="preserve"> likelihood of succeeding </w:t>
      </w:r>
      <w:r w:rsidR="00870143">
        <w:rPr>
          <w:rFonts w:ascii="Verdana" w:hAnsi="Verdana"/>
          <w:sz w:val="22"/>
          <w:szCs w:val="22"/>
        </w:rPr>
        <w:t>academically</w:t>
      </w:r>
      <w:r w:rsidR="00A71B8F">
        <w:rPr>
          <w:rFonts w:ascii="Verdana" w:hAnsi="Verdana"/>
          <w:sz w:val="22"/>
          <w:szCs w:val="22"/>
        </w:rPr>
        <w:t xml:space="preserve"> </w:t>
      </w:r>
      <w:r w:rsidRPr="007070C3">
        <w:rPr>
          <w:rFonts w:ascii="Verdana" w:hAnsi="Verdana"/>
          <w:sz w:val="22"/>
          <w:szCs w:val="22"/>
        </w:rPr>
        <w:t xml:space="preserve">and </w:t>
      </w:r>
      <w:r w:rsidR="00AF5DBA" w:rsidRPr="007070C3">
        <w:rPr>
          <w:rFonts w:ascii="Verdana" w:hAnsi="Verdana"/>
          <w:sz w:val="22"/>
          <w:szCs w:val="22"/>
        </w:rPr>
        <w:t xml:space="preserve">ultimately </w:t>
      </w:r>
      <w:r w:rsidRPr="007070C3">
        <w:rPr>
          <w:rFonts w:ascii="Verdana" w:hAnsi="Verdana"/>
          <w:sz w:val="22"/>
          <w:szCs w:val="22"/>
        </w:rPr>
        <w:t>attending post-secondary</w:t>
      </w:r>
      <w:r w:rsidR="00AF5DBA" w:rsidRPr="007070C3">
        <w:rPr>
          <w:rFonts w:ascii="Verdana" w:hAnsi="Verdana"/>
          <w:sz w:val="22"/>
          <w:szCs w:val="22"/>
        </w:rPr>
        <w:t xml:space="preserve"> education</w:t>
      </w:r>
      <w:r w:rsidRPr="007070C3">
        <w:rPr>
          <w:rFonts w:ascii="Verdana" w:hAnsi="Verdana"/>
          <w:sz w:val="22"/>
          <w:szCs w:val="22"/>
        </w:rPr>
        <w:t>.</w:t>
      </w:r>
    </w:p>
    <w:p w:rsidR="00665070" w:rsidRDefault="00665070" w:rsidP="00870143">
      <w:pPr>
        <w:rPr>
          <w:rFonts w:ascii="Verdana" w:hAnsi="Verdana"/>
          <w:sz w:val="22"/>
          <w:szCs w:val="22"/>
        </w:rPr>
      </w:pPr>
    </w:p>
    <w:p w:rsidR="00870143" w:rsidRPr="00870143" w:rsidRDefault="00870143" w:rsidP="00020ACE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shd w:val="clear" w:color="auto" w:fill="D2EEED"/>
        <w:rPr>
          <w:rFonts w:ascii="Verdana" w:hAnsi="Verdana"/>
          <w:b/>
          <w:sz w:val="22"/>
          <w:szCs w:val="22"/>
        </w:rPr>
      </w:pPr>
      <w:r w:rsidRPr="00870143">
        <w:rPr>
          <w:rFonts w:ascii="Verdana" w:hAnsi="Verdana"/>
          <w:b/>
          <w:sz w:val="22"/>
          <w:szCs w:val="22"/>
        </w:rPr>
        <w:t>The overall goal of ABACUS is to:</w:t>
      </w:r>
    </w:p>
    <w:p w:rsidR="00870143" w:rsidRDefault="00870143" w:rsidP="00020ACE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shd w:val="clear" w:color="auto" w:fill="D2EE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Improve high-school graduation rates and access to post-secondary education, including trades and apprenticeship opportunities</w:t>
      </w:r>
      <w:r w:rsidR="00E50DF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by focusing on the “middle-school years”:  </w:t>
      </w:r>
    </w:p>
    <w:p w:rsidR="00870143" w:rsidRDefault="00870143" w:rsidP="00020ACE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shd w:val="clear" w:color="auto" w:fill="D2EE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Grades 6, 7, 8 and transition to 9. </w:t>
      </w:r>
    </w:p>
    <w:p w:rsidR="00870143" w:rsidRDefault="00870143" w:rsidP="00870143">
      <w:pPr>
        <w:rPr>
          <w:rFonts w:ascii="Verdana" w:hAnsi="Verdana"/>
          <w:sz w:val="22"/>
          <w:szCs w:val="22"/>
        </w:rPr>
      </w:pPr>
    </w:p>
    <w:p w:rsidR="00665070" w:rsidRPr="00870143" w:rsidRDefault="00665070" w:rsidP="00524E5E">
      <w:pPr>
        <w:widowControl/>
        <w:tabs>
          <w:tab w:val="left" w:pos="1530"/>
        </w:tabs>
        <w:ind w:hanging="6"/>
        <w:rPr>
          <w:rFonts w:ascii="Verdana" w:hAnsi="Verdana" w:cs="Arial"/>
          <w:b/>
          <w:i/>
          <w:sz w:val="22"/>
          <w:szCs w:val="22"/>
        </w:rPr>
      </w:pPr>
      <w:r w:rsidRPr="007070C3">
        <w:rPr>
          <w:rFonts w:ascii="Verdana" w:hAnsi="Verdana"/>
          <w:sz w:val="22"/>
          <w:szCs w:val="22"/>
        </w:rPr>
        <w:t>Hamilton Community Foundation</w:t>
      </w:r>
      <w:r w:rsidR="002E5B8F">
        <w:rPr>
          <w:rFonts w:ascii="Verdana" w:hAnsi="Verdana"/>
          <w:sz w:val="22"/>
          <w:szCs w:val="22"/>
        </w:rPr>
        <w:t xml:space="preserve"> is entering </w:t>
      </w:r>
      <w:r w:rsidR="00524E5E">
        <w:rPr>
          <w:rFonts w:ascii="Verdana" w:hAnsi="Verdana"/>
          <w:sz w:val="22"/>
          <w:szCs w:val="22"/>
        </w:rPr>
        <w:t>the</w:t>
      </w:r>
      <w:r w:rsidR="002E5B8F">
        <w:rPr>
          <w:rFonts w:ascii="Verdana" w:hAnsi="Verdana"/>
          <w:sz w:val="22"/>
          <w:szCs w:val="22"/>
        </w:rPr>
        <w:t xml:space="preserve"> fourth year of its </w:t>
      </w:r>
      <w:r w:rsidR="00974726">
        <w:rPr>
          <w:rFonts w:ascii="Verdana" w:hAnsi="Verdana"/>
          <w:sz w:val="22"/>
          <w:szCs w:val="22"/>
        </w:rPr>
        <w:t>10-year</w:t>
      </w:r>
      <w:r w:rsidR="002E5B8F">
        <w:rPr>
          <w:rFonts w:ascii="Verdana" w:hAnsi="Verdana"/>
          <w:sz w:val="22"/>
          <w:szCs w:val="22"/>
        </w:rPr>
        <w:t xml:space="preserve"> commitment to advancing post-secondary access through ABACUS. </w:t>
      </w:r>
      <w:r w:rsidRPr="007070C3">
        <w:rPr>
          <w:rFonts w:ascii="Verdana" w:hAnsi="Verdana"/>
          <w:sz w:val="22"/>
          <w:szCs w:val="22"/>
        </w:rPr>
        <w:t xml:space="preserve"> </w:t>
      </w:r>
      <w:r w:rsidR="00400F2C">
        <w:rPr>
          <w:rFonts w:ascii="Verdana" w:hAnsi="Verdana"/>
          <w:sz w:val="22"/>
          <w:szCs w:val="22"/>
        </w:rPr>
        <w:t xml:space="preserve">We </w:t>
      </w:r>
      <w:r w:rsidRPr="007070C3">
        <w:rPr>
          <w:rFonts w:ascii="Verdana" w:hAnsi="Verdana"/>
          <w:sz w:val="22"/>
          <w:szCs w:val="22"/>
        </w:rPr>
        <w:t xml:space="preserve">invite charitable organizations in Hamilton to join us in </w:t>
      </w:r>
      <w:r w:rsidR="00400F2C">
        <w:rPr>
          <w:rFonts w:ascii="Verdana" w:hAnsi="Verdana"/>
          <w:sz w:val="22"/>
          <w:szCs w:val="22"/>
        </w:rPr>
        <w:t xml:space="preserve">continuing </w:t>
      </w:r>
      <w:r w:rsidRPr="007070C3">
        <w:rPr>
          <w:rFonts w:ascii="Verdana" w:hAnsi="Verdana"/>
          <w:sz w:val="22"/>
          <w:szCs w:val="22"/>
        </w:rPr>
        <w:t xml:space="preserve">this work.  </w:t>
      </w:r>
      <w:r w:rsidRPr="007070C3">
        <w:rPr>
          <w:rFonts w:ascii="Verdana" w:hAnsi="Verdana" w:cs="Arial"/>
          <w:sz w:val="22"/>
          <w:szCs w:val="22"/>
        </w:rPr>
        <w:t xml:space="preserve">For </w:t>
      </w:r>
      <w:r w:rsidR="002D7263">
        <w:rPr>
          <w:rFonts w:ascii="Verdana" w:hAnsi="Verdana" w:cs="Arial"/>
          <w:sz w:val="22"/>
          <w:szCs w:val="22"/>
        </w:rPr>
        <w:t xml:space="preserve">the </w:t>
      </w:r>
      <w:r w:rsidRPr="007070C3">
        <w:rPr>
          <w:rFonts w:ascii="Verdana" w:hAnsi="Verdana" w:cs="Arial"/>
          <w:sz w:val="22"/>
          <w:szCs w:val="22"/>
        </w:rPr>
        <w:t>201</w:t>
      </w:r>
      <w:r w:rsidR="00400F2C">
        <w:rPr>
          <w:rFonts w:ascii="Verdana" w:hAnsi="Verdana" w:cs="Arial"/>
          <w:sz w:val="22"/>
          <w:szCs w:val="22"/>
        </w:rPr>
        <w:t>9</w:t>
      </w:r>
      <w:r w:rsidRPr="007070C3">
        <w:rPr>
          <w:rFonts w:ascii="Verdana" w:hAnsi="Verdana" w:cs="Arial"/>
          <w:sz w:val="22"/>
          <w:szCs w:val="22"/>
        </w:rPr>
        <w:t>-</w:t>
      </w:r>
      <w:r w:rsidR="00400F2C">
        <w:rPr>
          <w:rFonts w:ascii="Verdana" w:hAnsi="Verdana" w:cs="Arial"/>
          <w:sz w:val="22"/>
          <w:szCs w:val="22"/>
        </w:rPr>
        <w:t>20</w:t>
      </w:r>
      <w:r w:rsidR="0079549A">
        <w:rPr>
          <w:rFonts w:ascii="Verdana" w:hAnsi="Verdana" w:cs="Arial"/>
          <w:sz w:val="22"/>
          <w:szCs w:val="22"/>
        </w:rPr>
        <w:t xml:space="preserve"> school year</w:t>
      </w:r>
      <w:r w:rsidR="009E5009">
        <w:rPr>
          <w:rFonts w:ascii="Verdana" w:hAnsi="Verdana" w:cs="Arial"/>
          <w:sz w:val="22"/>
          <w:szCs w:val="22"/>
        </w:rPr>
        <w:t>,</w:t>
      </w:r>
      <w:r w:rsidRPr="007070C3">
        <w:rPr>
          <w:rFonts w:ascii="Verdana" w:hAnsi="Verdana" w:cs="Arial"/>
          <w:sz w:val="22"/>
          <w:szCs w:val="22"/>
        </w:rPr>
        <w:t xml:space="preserve"> granting from the Community Fund will support education</w:t>
      </w:r>
      <w:r w:rsidR="001107F1">
        <w:rPr>
          <w:rFonts w:ascii="Verdana" w:hAnsi="Verdana" w:cs="Arial"/>
          <w:sz w:val="22"/>
          <w:szCs w:val="22"/>
        </w:rPr>
        <w:t>-</w:t>
      </w:r>
      <w:r w:rsidRPr="007070C3">
        <w:rPr>
          <w:rFonts w:ascii="Verdana" w:hAnsi="Verdana" w:cs="Arial"/>
          <w:sz w:val="22"/>
          <w:szCs w:val="22"/>
        </w:rPr>
        <w:t xml:space="preserve">based initiatives aimed at </w:t>
      </w:r>
      <w:r w:rsidRPr="00870143">
        <w:rPr>
          <w:rFonts w:ascii="Verdana" w:hAnsi="Verdana" w:cs="Arial"/>
          <w:sz w:val="22"/>
          <w:szCs w:val="22"/>
        </w:rPr>
        <w:t xml:space="preserve">improving middle school </w:t>
      </w:r>
      <w:r w:rsidR="00870143" w:rsidRPr="00870143">
        <w:rPr>
          <w:rFonts w:ascii="Verdana" w:hAnsi="Verdana" w:cs="Arial"/>
          <w:sz w:val="22"/>
          <w:szCs w:val="22"/>
        </w:rPr>
        <w:t>years</w:t>
      </w:r>
      <w:r w:rsidR="009E5009">
        <w:rPr>
          <w:rFonts w:ascii="Verdana" w:hAnsi="Verdana" w:cs="Arial"/>
          <w:sz w:val="22"/>
          <w:szCs w:val="22"/>
        </w:rPr>
        <w:t>’</w:t>
      </w:r>
      <w:r w:rsidR="00870143" w:rsidRPr="00870143">
        <w:rPr>
          <w:rFonts w:ascii="Verdana" w:hAnsi="Verdana" w:cs="Arial"/>
          <w:sz w:val="22"/>
          <w:szCs w:val="22"/>
        </w:rPr>
        <w:t xml:space="preserve"> </w:t>
      </w:r>
      <w:r w:rsidRPr="00870143">
        <w:rPr>
          <w:rFonts w:ascii="Verdana" w:hAnsi="Verdana" w:cs="Arial"/>
          <w:sz w:val="22"/>
          <w:szCs w:val="22"/>
        </w:rPr>
        <w:t>academic and social engagement, improving transitions from middle school to high school and laying the foundation for successful high school graduation and access to post-secondary education for disadvantaged students</w:t>
      </w:r>
      <w:r w:rsidRPr="00870143">
        <w:rPr>
          <w:rFonts w:ascii="Verdana" w:hAnsi="Verdana" w:cs="Arial"/>
          <w:b/>
          <w:i/>
          <w:sz w:val="22"/>
          <w:szCs w:val="22"/>
        </w:rPr>
        <w:t>.</w:t>
      </w:r>
      <w:r w:rsidR="00BB6600">
        <w:rPr>
          <w:rFonts w:ascii="Verdana" w:hAnsi="Verdana" w:cs="Arial"/>
          <w:b/>
          <w:i/>
          <w:sz w:val="22"/>
          <w:szCs w:val="22"/>
        </w:rPr>
        <w:t xml:space="preserve"> </w:t>
      </w:r>
    </w:p>
    <w:p w:rsidR="00665070" w:rsidRPr="007070C3" w:rsidRDefault="00665070" w:rsidP="007963F4">
      <w:pPr>
        <w:widowControl/>
        <w:autoSpaceDE/>
        <w:autoSpaceDN/>
        <w:adjustRightInd/>
        <w:ind w:hanging="6"/>
        <w:rPr>
          <w:rFonts w:ascii="Verdana" w:hAnsi="Verdana" w:cs="Arial"/>
          <w:b/>
          <w:i/>
          <w:sz w:val="22"/>
          <w:szCs w:val="22"/>
        </w:rPr>
      </w:pPr>
    </w:p>
    <w:p w:rsidR="00E36265" w:rsidRPr="007070C3" w:rsidRDefault="00870143" w:rsidP="007963F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 are</w:t>
      </w:r>
      <w:r w:rsidR="00665070" w:rsidRPr="007070C3">
        <w:rPr>
          <w:rFonts w:ascii="Verdana" w:hAnsi="Verdana" w:cs="Arial"/>
          <w:sz w:val="22"/>
          <w:szCs w:val="22"/>
        </w:rPr>
        <w:t xml:space="preserve"> especially interested in pr</w:t>
      </w:r>
      <w:r w:rsidR="00E36265" w:rsidRPr="007070C3">
        <w:rPr>
          <w:rFonts w:ascii="Verdana" w:hAnsi="Verdana" w:cs="Arial"/>
          <w:sz w:val="22"/>
          <w:szCs w:val="22"/>
        </w:rPr>
        <w:t>ograms that:</w:t>
      </w:r>
    </w:p>
    <w:p w:rsidR="00E36265" w:rsidRPr="007070C3" w:rsidRDefault="00E36265" w:rsidP="007963F4">
      <w:pPr>
        <w:rPr>
          <w:rFonts w:ascii="Verdana" w:hAnsi="Verdana" w:cs="Arial"/>
          <w:sz w:val="22"/>
          <w:szCs w:val="22"/>
        </w:rPr>
      </w:pPr>
    </w:p>
    <w:p w:rsidR="00665070" w:rsidRPr="00870143" w:rsidRDefault="00E36265" w:rsidP="007963F4">
      <w:pPr>
        <w:numPr>
          <w:ilvl w:val="0"/>
          <w:numId w:val="18"/>
        </w:numPr>
        <w:rPr>
          <w:rFonts w:ascii="Verdana" w:hAnsi="Verdana" w:cs="Arial"/>
          <w:sz w:val="22"/>
          <w:szCs w:val="22"/>
        </w:rPr>
      </w:pPr>
      <w:r w:rsidRPr="00870143">
        <w:rPr>
          <w:rFonts w:ascii="Verdana" w:hAnsi="Verdana" w:cs="Arial"/>
          <w:sz w:val="22"/>
          <w:szCs w:val="22"/>
        </w:rPr>
        <w:t>Serve</w:t>
      </w:r>
      <w:r w:rsidR="00665070" w:rsidRPr="00870143">
        <w:rPr>
          <w:rFonts w:ascii="Verdana" w:hAnsi="Verdana" w:cs="Arial"/>
          <w:sz w:val="22"/>
          <w:szCs w:val="22"/>
        </w:rPr>
        <w:t xml:space="preserve"> youth who have been shown to </w:t>
      </w:r>
      <w:r w:rsidR="00870143" w:rsidRPr="00870143">
        <w:rPr>
          <w:rFonts w:ascii="Verdana" w:hAnsi="Verdana" w:cs="Arial"/>
          <w:sz w:val="22"/>
          <w:szCs w:val="22"/>
        </w:rPr>
        <w:t>experience</w:t>
      </w:r>
      <w:r w:rsidR="00665070" w:rsidRPr="00870143">
        <w:rPr>
          <w:rFonts w:ascii="Verdana" w:hAnsi="Verdana" w:cs="Arial"/>
          <w:sz w:val="22"/>
          <w:szCs w:val="22"/>
        </w:rPr>
        <w:t xml:space="preserve"> more barriers to success in middle school, high school graduation and post-secondary access such as</w:t>
      </w:r>
      <w:r w:rsidR="00870143" w:rsidRPr="00870143">
        <w:rPr>
          <w:rFonts w:ascii="Verdana" w:hAnsi="Verdana" w:cs="Arial"/>
          <w:sz w:val="22"/>
          <w:szCs w:val="22"/>
        </w:rPr>
        <w:t xml:space="preserve"> low-</w:t>
      </w:r>
      <w:r w:rsidR="00665070" w:rsidRPr="00870143">
        <w:rPr>
          <w:rFonts w:ascii="Verdana" w:hAnsi="Verdana" w:cs="Arial"/>
          <w:sz w:val="22"/>
          <w:szCs w:val="22"/>
        </w:rPr>
        <w:t>income students</w:t>
      </w:r>
      <w:r w:rsidR="00870143" w:rsidRPr="00870143">
        <w:rPr>
          <w:rFonts w:ascii="Verdana" w:hAnsi="Verdana" w:cs="Arial"/>
          <w:sz w:val="22"/>
          <w:szCs w:val="22"/>
        </w:rPr>
        <w:t>, first-</w:t>
      </w:r>
      <w:r w:rsidR="00665070" w:rsidRPr="00870143">
        <w:rPr>
          <w:rFonts w:ascii="Verdana" w:hAnsi="Verdana" w:cs="Arial"/>
          <w:sz w:val="22"/>
          <w:szCs w:val="22"/>
        </w:rPr>
        <w:t>generation PSE attenders</w:t>
      </w:r>
      <w:r w:rsidR="00870143" w:rsidRPr="00870143">
        <w:rPr>
          <w:rFonts w:ascii="Verdana" w:hAnsi="Verdana" w:cs="Arial"/>
          <w:sz w:val="22"/>
          <w:szCs w:val="22"/>
        </w:rPr>
        <w:t xml:space="preserve">, </w:t>
      </w:r>
      <w:r w:rsidR="00B81287">
        <w:rPr>
          <w:rFonts w:ascii="Verdana" w:hAnsi="Verdana" w:cs="Arial"/>
          <w:sz w:val="22"/>
          <w:szCs w:val="22"/>
        </w:rPr>
        <w:t>Indigenous</w:t>
      </w:r>
      <w:r w:rsidR="00665070" w:rsidRPr="00870143">
        <w:rPr>
          <w:rFonts w:ascii="Verdana" w:hAnsi="Verdana" w:cs="Arial"/>
          <w:sz w:val="22"/>
          <w:szCs w:val="22"/>
        </w:rPr>
        <w:t xml:space="preserve"> students</w:t>
      </w:r>
      <w:r w:rsidR="00870143" w:rsidRPr="00870143">
        <w:rPr>
          <w:rFonts w:ascii="Verdana" w:hAnsi="Verdana" w:cs="Arial"/>
          <w:sz w:val="22"/>
          <w:szCs w:val="22"/>
        </w:rPr>
        <w:t xml:space="preserve">, </w:t>
      </w:r>
      <w:r w:rsidR="00665070" w:rsidRPr="00870143">
        <w:rPr>
          <w:rFonts w:ascii="Verdana" w:hAnsi="Verdana" w:cs="Arial"/>
          <w:sz w:val="22"/>
          <w:szCs w:val="22"/>
        </w:rPr>
        <w:t>stude</w:t>
      </w:r>
      <w:r w:rsidRPr="00870143">
        <w:rPr>
          <w:rFonts w:ascii="Verdana" w:hAnsi="Verdana" w:cs="Arial"/>
          <w:sz w:val="22"/>
          <w:szCs w:val="22"/>
        </w:rPr>
        <w:t>nts from newcomer communities</w:t>
      </w:r>
      <w:r w:rsidR="00870143">
        <w:rPr>
          <w:rFonts w:ascii="Verdana" w:hAnsi="Verdana" w:cs="Arial"/>
          <w:sz w:val="22"/>
          <w:szCs w:val="22"/>
        </w:rPr>
        <w:t xml:space="preserve"> etc. </w:t>
      </w:r>
    </w:p>
    <w:p w:rsidR="00E36265" w:rsidRPr="007070C3" w:rsidRDefault="00E36265" w:rsidP="007963F4">
      <w:pPr>
        <w:numPr>
          <w:ilvl w:val="0"/>
          <w:numId w:val="18"/>
        </w:numPr>
        <w:rPr>
          <w:rFonts w:ascii="Verdana" w:hAnsi="Verdana" w:cs="Arial"/>
          <w:sz w:val="22"/>
          <w:szCs w:val="22"/>
        </w:rPr>
      </w:pPr>
      <w:r w:rsidRPr="007070C3">
        <w:rPr>
          <w:rFonts w:ascii="Verdana" w:hAnsi="Verdana" w:cs="Arial"/>
          <w:sz w:val="22"/>
          <w:szCs w:val="22"/>
        </w:rPr>
        <w:t>Operate in partnership with other community or school supports</w:t>
      </w:r>
    </w:p>
    <w:p w:rsidR="003A35FA" w:rsidRDefault="00B81287" w:rsidP="003A35FA">
      <w:pPr>
        <w:numPr>
          <w:ilvl w:val="0"/>
          <w:numId w:val="18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Incorporate the</w:t>
      </w:r>
      <w:r w:rsidR="00217F19" w:rsidRPr="00870143">
        <w:rPr>
          <w:rFonts w:ascii="Verdana" w:hAnsi="Verdana" w:cs="Arial"/>
          <w:sz w:val="22"/>
          <w:szCs w:val="22"/>
        </w:rPr>
        <w:t xml:space="preserve"> four</w:t>
      </w:r>
      <w:r w:rsidR="001107F1" w:rsidRPr="00870143">
        <w:rPr>
          <w:rFonts w:ascii="Verdana" w:hAnsi="Verdana" w:cs="Arial"/>
          <w:sz w:val="22"/>
          <w:szCs w:val="22"/>
        </w:rPr>
        <w:t>-</w:t>
      </w:r>
      <w:r w:rsidR="00217F19" w:rsidRPr="00870143">
        <w:rPr>
          <w:rFonts w:ascii="Verdana" w:hAnsi="Verdana" w:cs="Arial"/>
          <w:sz w:val="22"/>
          <w:szCs w:val="22"/>
        </w:rPr>
        <w:t>pillar framework</w:t>
      </w:r>
      <w:r w:rsidR="00724521">
        <w:rPr>
          <w:rFonts w:ascii="Verdana" w:hAnsi="Verdana" w:cs="Arial"/>
          <w:sz w:val="22"/>
          <w:szCs w:val="22"/>
        </w:rPr>
        <w:t xml:space="preserve"> as outlined at</w:t>
      </w:r>
      <w:r w:rsidR="003A35FA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3A35FA" w:rsidRPr="003D7525">
          <w:rPr>
            <w:rStyle w:val="Hyperlink"/>
            <w:rFonts w:ascii="Verdana" w:hAnsi="Verdana" w:cs="Arial"/>
            <w:sz w:val="22"/>
            <w:szCs w:val="22"/>
          </w:rPr>
          <w:t>https://www.hamiltoncommunityfoundation.ca/wp-content/uploads/2019/01/Description-of-4-Pillars-for-Grantees-Rev-Jan-9-2019.pdf</w:t>
        </w:r>
      </w:hyperlink>
    </w:p>
    <w:p w:rsidR="00870143" w:rsidRDefault="00217F19" w:rsidP="003A35FA">
      <w:pPr>
        <w:ind w:left="360"/>
        <w:rPr>
          <w:rFonts w:ascii="Verdana" w:hAnsi="Verdana" w:cs="Arial"/>
          <w:sz w:val="22"/>
          <w:szCs w:val="22"/>
        </w:rPr>
      </w:pPr>
      <w:r w:rsidRPr="00870143">
        <w:rPr>
          <w:rFonts w:ascii="Verdana" w:hAnsi="Verdana" w:cs="Arial"/>
          <w:sz w:val="22"/>
          <w:szCs w:val="22"/>
        </w:rPr>
        <w:t>of academic</w:t>
      </w:r>
      <w:r w:rsidR="005E68FE">
        <w:rPr>
          <w:rFonts w:ascii="Verdana" w:hAnsi="Verdana" w:cs="Arial"/>
          <w:sz w:val="22"/>
          <w:szCs w:val="22"/>
        </w:rPr>
        <w:t xml:space="preserve"> upskilling, </w:t>
      </w:r>
      <w:r w:rsidRPr="00870143">
        <w:rPr>
          <w:rFonts w:ascii="Verdana" w:hAnsi="Verdana" w:cs="Arial"/>
          <w:sz w:val="22"/>
          <w:szCs w:val="22"/>
        </w:rPr>
        <w:t>counselling/mentoring</w:t>
      </w:r>
      <w:r w:rsidR="005E68FE">
        <w:rPr>
          <w:rFonts w:ascii="Verdana" w:hAnsi="Verdana" w:cs="Arial"/>
          <w:sz w:val="22"/>
          <w:szCs w:val="22"/>
        </w:rPr>
        <w:t>, goal setting</w:t>
      </w:r>
      <w:r w:rsidRPr="00870143">
        <w:rPr>
          <w:rFonts w:ascii="Verdana" w:hAnsi="Verdana" w:cs="Arial"/>
          <w:sz w:val="22"/>
          <w:szCs w:val="22"/>
        </w:rPr>
        <w:t xml:space="preserve"> and </w:t>
      </w:r>
      <w:r w:rsidR="005E68FE">
        <w:rPr>
          <w:rFonts w:ascii="Verdana" w:hAnsi="Verdana" w:cs="Arial"/>
          <w:sz w:val="22"/>
          <w:szCs w:val="22"/>
        </w:rPr>
        <w:t>incentives.</w:t>
      </w:r>
    </w:p>
    <w:p w:rsidR="00A5599A" w:rsidRDefault="00A5599A" w:rsidP="007963F4">
      <w:pPr>
        <w:numPr>
          <w:ilvl w:val="0"/>
          <w:numId w:val="18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Incorporat</w:t>
      </w:r>
      <w:r w:rsidR="00034E73">
        <w:rPr>
          <w:rFonts w:ascii="Verdana" w:hAnsi="Verdana" w:cs="Arial"/>
          <w:sz w:val="22"/>
          <w:szCs w:val="22"/>
        </w:rPr>
        <w:t>e strategies to engage parents</w:t>
      </w:r>
    </w:p>
    <w:p w:rsidR="00870143" w:rsidRDefault="00870143" w:rsidP="007963F4">
      <w:pPr>
        <w:rPr>
          <w:rFonts w:ascii="Verdana" w:hAnsi="Verdana" w:cs="Arial"/>
          <w:sz w:val="22"/>
          <w:szCs w:val="22"/>
        </w:rPr>
      </w:pPr>
    </w:p>
    <w:p w:rsidR="00183C7F" w:rsidRDefault="00780B4B" w:rsidP="007963F4">
      <w:pPr>
        <w:widowControl/>
        <w:autoSpaceDE/>
        <w:autoSpaceDN/>
        <w:adjustRightInd/>
        <w:rPr>
          <w:rFonts w:ascii="Verdana" w:hAnsi="Verdana" w:cs="Arial"/>
          <w:sz w:val="22"/>
          <w:szCs w:val="22"/>
        </w:rPr>
      </w:pPr>
      <w:r w:rsidRPr="00780B4B">
        <w:rPr>
          <w:rFonts w:ascii="Verdana" w:hAnsi="Verdana" w:cs="Arial"/>
          <w:sz w:val="22"/>
          <w:szCs w:val="22"/>
        </w:rPr>
        <w:t>Organizations that are non-profit</w:t>
      </w:r>
      <w:r w:rsidR="003E5F2D">
        <w:rPr>
          <w:rFonts w:ascii="Verdana" w:hAnsi="Verdana" w:cs="Arial"/>
          <w:sz w:val="22"/>
          <w:szCs w:val="22"/>
        </w:rPr>
        <w:t>,</w:t>
      </w:r>
      <w:r w:rsidRPr="00780B4B">
        <w:rPr>
          <w:rFonts w:ascii="Verdana" w:hAnsi="Verdana" w:cs="Arial"/>
          <w:sz w:val="22"/>
          <w:szCs w:val="22"/>
        </w:rPr>
        <w:t xml:space="preserve"> but </w:t>
      </w:r>
      <w:r>
        <w:rPr>
          <w:rFonts w:ascii="Verdana" w:hAnsi="Verdana" w:cs="Arial"/>
          <w:sz w:val="22"/>
          <w:szCs w:val="22"/>
        </w:rPr>
        <w:t xml:space="preserve">that </w:t>
      </w:r>
      <w:r w:rsidRPr="00780B4B">
        <w:rPr>
          <w:rFonts w:ascii="Verdana" w:hAnsi="Verdana" w:cs="Arial"/>
          <w:sz w:val="22"/>
          <w:szCs w:val="22"/>
        </w:rPr>
        <w:t>do not have charitable status, may be eligible to apply under a fiscal sponsorship.  Information is available at</w:t>
      </w:r>
      <w:r w:rsidR="00183C7F">
        <w:rPr>
          <w:rFonts w:ascii="Verdana" w:hAnsi="Verdana" w:cs="Arial"/>
          <w:sz w:val="22"/>
          <w:szCs w:val="22"/>
        </w:rPr>
        <w:t>:</w:t>
      </w:r>
    </w:p>
    <w:p w:rsidR="00780B4B" w:rsidRPr="00177D56" w:rsidRDefault="00FE07F3" w:rsidP="007963F4">
      <w:pPr>
        <w:widowControl/>
        <w:autoSpaceDE/>
        <w:autoSpaceDN/>
        <w:adjustRightInd/>
        <w:rPr>
          <w:rFonts w:ascii="Verdana" w:hAnsi="Verdana" w:cs="Arial"/>
          <w:sz w:val="22"/>
          <w:szCs w:val="22"/>
        </w:rPr>
      </w:pPr>
      <w:hyperlink r:id="rId11" w:history="1">
        <w:r w:rsidRPr="00250F1D">
          <w:rPr>
            <w:rStyle w:val="Hyperlink"/>
            <w:rFonts w:ascii="Verdana" w:hAnsi="Verdana" w:cs="Arial"/>
            <w:sz w:val="22"/>
            <w:szCs w:val="22"/>
          </w:rPr>
          <w:t>http://hamiltoncommunityfoundation.ca/?s=sponsorship</w:t>
        </w:r>
      </w:hyperlink>
    </w:p>
    <w:p w:rsidR="00177D56" w:rsidRPr="00177D56" w:rsidRDefault="00177D56" w:rsidP="002D1D8A">
      <w:pPr>
        <w:widowControl/>
        <w:autoSpaceDE/>
        <w:autoSpaceDN/>
        <w:adjustRightInd/>
        <w:jc w:val="both"/>
        <w:rPr>
          <w:rFonts w:ascii="Verdana" w:hAnsi="Verdana" w:cs="Arial"/>
          <w:sz w:val="22"/>
          <w:szCs w:val="22"/>
        </w:rPr>
      </w:pPr>
    </w:p>
    <w:p w:rsidR="00950158" w:rsidRDefault="00950158" w:rsidP="00AE0121">
      <w:pPr>
        <w:widowControl/>
        <w:autoSpaceDE/>
        <w:autoSpaceDN/>
        <w:adjustRightInd/>
        <w:jc w:val="both"/>
        <w:rPr>
          <w:rFonts w:ascii="Verdana" w:hAnsi="Verdana" w:cs="Arial"/>
          <w:b/>
          <w:sz w:val="22"/>
          <w:szCs w:val="22"/>
        </w:rPr>
      </w:pPr>
    </w:p>
    <w:p w:rsidR="00950158" w:rsidRDefault="00950158" w:rsidP="00AE0121">
      <w:pPr>
        <w:widowControl/>
        <w:autoSpaceDE/>
        <w:autoSpaceDN/>
        <w:adjustRightInd/>
        <w:jc w:val="both"/>
        <w:rPr>
          <w:rFonts w:ascii="Verdana" w:hAnsi="Verdana" w:cs="Arial"/>
          <w:b/>
          <w:sz w:val="22"/>
          <w:szCs w:val="22"/>
        </w:rPr>
      </w:pPr>
    </w:p>
    <w:p w:rsidR="00950158" w:rsidRDefault="00950158" w:rsidP="00AE0121">
      <w:pPr>
        <w:widowControl/>
        <w:autoSpaceDE/>
        <w:autoSpaceDN/>
        <w:adjustRightInd/>
        <w:jc w:val="both"/>
        <w:rPr>
          <w:rFonts w:ascii="Verdana" w:hAnsi="Verdana" w:cs="Arial"/>
          <w:b/>
          <w:sz w:val="22"/>
          <w:szCs w:val="22"/>
        </w:rPr>
      </w:pPr>
    </w:p>
    <w:p w:rsidR="00D171BD" w:rsidRDefault="002C2282" w:rsidP="00AE0121">
      <w:pPr>
        <w:widowControl/>
        <w:autoSpaceDE/>
        <w:autoSpaceDN/>
        <w:adjustRightInd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</w:t>
      </w:r>
      <w:r w:rsidR="00177D56" w:rsidRPr="00177D56">
        <w:rPr>
          <w:rFonts w:ascii="Verdana" w:hAnsi="Verdana" w:cs="Arial"/>
          <w:b/>
          <w:sz w:val="22"/>
          <w:szCs w:val="22"/>
        </w:rPr>
        <w:t>eneral</w:t>
      </w:r>
      <w:r w:rsidR="00830771">
        <w:rPr>
          <w:rFonts w:ascii="Verdana" w:hAnsi="Verdana" w:cs="Arial"/>
          <w:b/>
          <w:sz w:val="22"/>
          <w:szCs w:val="22"/>
        </w:rPr>
        <w:t xml:space="preserve"> </w:t>
      </w:r>
      <w:r w:rsidR="00AE0121">
        <w:rPr>
          <w:rFonts w:ascii="Verdana" w:hAnsi="Verdana" w:cs="Arial"/>
          <w:b/>
          <w:sz w:val="22"/>
          <w:szCs w:val="22"/>
        </w:rPr>
        <w:t>c</w:t>
      </w:r>
      <w:r w:rsidR="00830771">
        <w:rPr>
          <w:rFonts w:ascii="Verdana" w:hAnsi="Verdana" w:cs="Arial"/>
          <w:b/>
          <w:sz w:val="22"/>
          <w:szCs w:val="22"/>
        </w:rPr>
        <w:t>riteria</w:t>
      </w:r>
    </w:p>
    <w:p w:rsidR="00183C7F" w:rsidRPr="00177D56" w:rsidRDefault="00183C7F" w:rsidP="007963F4">
      <w:pPr>
        <w:widowControl/>
        <w:autoSpaceDE/>
        <w:autoSpaceDN/>
        <w:adjustRightInd/>
        <w:rPr>
          <w:rFonts w:ascii="Verdana" w:hAnsi="Verdana" w:cs="Arial"/>
          <w:sz w:val="22"/>
          <w:szCs w:val="22"/>
        </w:rPr>
      </w:pPr>
    </w:p>
    <w:p w:rsidR="00E521D5" w:rsidRPr="00870143" w:rsidRDefault="00177D56" w:rsidP="007963F4">
      <w:pPr>
        <w:widowControl/>
        <w:numPr>
          <w:ilvl w:val="0"/>
          <w:numId w:val="17"/>
        </w:numPr>
        <w:autoSpaceDE/>
        <w:autoSpaceDN/>
        <w:adjustRightInd/>
        <w:rPr>
          <w:rFonts w:ascii="Verdana" w:hAnsi="Verdana" w:cs="Arial"/>
          <w:sz w:val="22"/>
          <w:szCs w:val="22"/>
        </w:rPr>
      </w:pPr>
      <w:r w:rsidRPr="00870143">
        <w:rPr>
          <w:rFonts w:ascii="Verdana" w:hAnsi="Verdana" w:cs="Arial"/>
          <w:sz w:val="22"/>
          <w:szCs w:val="22"/>
        </w:rPr>
        <w:t>Grants for one-time special events, individual student sponsorships, or capital will not be considered.</w:t>
      </w:r>
    </w:p>
    <w:p w:rsidR="000E37A8" w:rsidRPr="00870143" w:rsidRDefault="00630F50" w:rsidP="007963F4">
      <w:pPr>
        <w:widowControl/>
        <w:numPr>
          <w:ilvl w:val="0"/>
          <w:numId w:val="17"/>
        </w:numPr>
        <w:autoSpaceDE/>
        <w:autoSpaceDN/>
        <w:adjustRightInd/>
        <w:rPr>
          <w:rFonts w:ascii="Verdana" w:hAnsi="Verdana" w:cs="Arial"/>
          <w:sz w:val="22"/>
          <w:szCs w:val="22"/>
        </w:rPr>
      </w:pPr>
      <w:r w:rsidRPr="00870143">
        <w:rPr>
          <w:rFonts w:ascii="Verdana" w:hAnsi="Verdana" w:cs="Arial"/>
          <w:sz w:val="22"/>
          <w:szCs w:val="22"/>
        </w:rPr>
        <w:t>All initiatives must be carried out within Hamilton.</w:t>
      </w:r>
    </w:p>
    <w:p w:rsidR="00630F50" w:rsidRDefault="00630F50" w:rsidP="007963F4">
      <w:pPr>
        <w:widowControl/>
        <w:numPr>
          <w:ilvl w:val="0"/>
          <w:numId w:val="17"/>
        </w:numPr>
        <w:autoSpaceDE/>
        <w:autoSpaceDN/>
        <w:adjustRightInd/>
        <w:rPr>
          <w:rFonts w:ascii="Verdana" w:hAnsi="Verdana"/>
          <w:sz w:val="22"/>
          <w:szCs w:val="22"/>
        </w:rPr>
      </w:pPr>
      <w:r w:rsidRPr="000E37A8">
        <w:rPr>
          <w:rFonts w:ascii="Verdana" w:hAnsi="Verdana"/>
          <w:sz w:val="22"/>
          <w:szCs w:val="22"/>
        </w:rPr>
        <w:t>Grants will not be made to promote political, religious, moral or ethical philosophies or for purposes which may be deemed discriminatory</w:t>
      </w:r>
      <w:r w:rsidR="003E5F2D">
        <w:rPr>
          <w:rFonts w:ascii="Verdana" w:hAnsi="Verdana"/>
          <w:sz w:val="22"/>
          <w:szCs w:val="22"/>
        </w:rPr>
        <w:t>.</w:t>
      </w:r>
    </w:p>
    <w:p w:rsidR="00830771" w:rsidRDefault="00830771" w:rsidP="007963F4">
      <w:pPr>
        <w:widowControl/>
        <w:numPr>
          <w:ilvl w:val="0"/>
          <w:numId w:val="17"/>
        </w:numPr>
        <w:autoSpaceDE/>
        <w:autoSpaceDN/>
        <w:adjustRightInd/>
        <w:rPr>
          <w:rFonts w:ascii="Verdana" w:hAnsi="Verdana" w:cs="Arial"/>
          <w:sz w:val="22"/>
          <w:szCs w:val="22"/>
        </w:rPr>
      </w:pPr>
      <w:r w:rsidRPr="00870143">
        <w:rPr>
          <w:rFonts w:ascii="Verdana" w:hAnsi="Verdana" w:cs="Arial"/>
          <w:sz w:val="22"/>
          <w:szCs w:val="22"/>
        </w:rPr>
        <w:t>Foundation funds are not intended to fund programs that</w:t>
      </w:r>
      <w:r w:rsidRPr="00870143">
        <w:rPr>
          <w:rFonts w:ascii="Verdana" w:hAnsi="Verdana" w:cs="Arial"/>
          <w:sz w:val="22"/>
          <w:szCs w:val="22"/>
          <w:shd w:val="clear" w:color="auto" w:fill="F5F4EB"/>
        </w:rPr>
        <w:t xml:space="preserve"> </w:t>
      </w:r>
      <w:r w:rsidRPr="00870143">
        <w:rPr>
          <w:rFonts w:ascii="Verdana" w:hAnsi="Verdana" w:cs="Arial"/>
          <w:sz w:val="22"/>
          <w:szCs w:val="22"/>
        </w:rPr>
        <w:t xml:space="preserve">are the responsibility of the public through the annual Board of Education budget. </w:t>
      </w:r>
    </w:p>
    <w:p w:rsidR="005E68FE" w:rsidRPr="00870143" w:rsidRDefault="005E68FE" w:rsidP="007963F4">
      <w:pPr>
        <w:widowControl/>
        <w:numPr>
          <w:ilvl w:val="0"/>
          <w:numId w:val="17"/>
        </w:numPr>
        <w:autoSpaceDE/>
        <w:autoSpaceDN/>
        <w:adjustRightInd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Funds</w:t>
      </w:r>
      <w:r w:rsidR="00BC5075">
        <w:rPr>
          <w:rFonts w:ascii="Verdana" w:hAnsi="Verdana" w:cs="Arial"/>
          <w:sz w:val="22"/>
          <w:szCs w:val="22"/>
        </w:rPr>
        <w:t xml:space="preserve"> are to be used during the 2019-</w:t>
      </w:r>
      <w:r>
        <w:rPr>
          <w:rFonts w:ascii="Verdana" w:hAnsi="Verdana" w:cs="Arial"/>
          <w:sz w:val="22"/>
          <w:szCs w:val="22"/>
        </w:rPr>
        <w:t>20 school year.</w:t>
      </w:r>
    </w:p>
    <w:p w:rsidR="00830771" w:rsidRPr="000E37A8" w:rsidRDefault="00830771" w:rsidP="007963F4">
      <w:pPr>
        <w:widowControl/>
        <w:autoSpaceDE/>
        <w:autoSpaceDN/>
        <w:adjustRightInd/>
        <w:ind w:left="360"/>
        <w:rPr>
          <w:rFonts w:ascii="Verdana" w:hAnsi="Verdana"/>
          <w:sz w:val="22"/>
          <w:szCs w:val="22"/>
        </w:rPr>
      </w:pPr>
    </w:p>
    <w:p w:rsidR="00177D56" w:rsidRPr="00177D56" w:rsidRDefault="00177D56" w:rsidP="007963F4">
      <w:pPr>
        <w:widowControl/>
        <w:autoSpaceDE/>
        <w:autoSpaceDN/>
        <w:adjustRightInd/>
        <w:ind w:left="720"/>
        <w:rPr>
          <w:rFonts w:ascii="Verdana" w:hAnsi="Verdana" w:cs="Arial"/>
          <w:sz w:val="22"/>
          <w:szCs w:val="22"/>
        </w:rPr>
      </w:pPr>
    </w:p>
    <w:p w:rsidR="005E68FE" w:rsidRDefault="005E68FE" w:rsidP="00AE0121">
      <w:pPr>
        <w:pStyle w:val="Heading9"/>
        <w:ind w:firstLine="0"/>
        <w:jc w:val="left"/>
        <w:rPr>
          <w:rFonts w:ascii="Verdana" w:hAnsi="Verdana"/>
          <w:szCs w:val="22"/>
          <w:u w:val="none"/>
        </w:rPr>
      </w:pPr>
      <w:r>
        <w:rPr>
          <w:rFonts w:ascii="Verdana" w:hAnsi="Verdana"/>
          <w:szCs w:val="22"/>
          <w:u w:val="none"/>
        </w:rPr>
        <w:t xml:space="preserve">Funding </w:t>
      </w:r>
      <w:r w:rsidR="00AE0121">
        <w:rPr>
          <w:rFonts w:ascii="Verdana" w:hAnsi="Verdana"/>
          <w:szCs w:val="22"/>
          <w:u w:val="none"/>
        </w:rPr>
        <w:t>c</w:t>
      </w:r>
      <w:r>
        <w:rPr>
          <w:rFonts w:ascii="Verdana" w:hAnsi="Verdana"/>
          <w:szCs w:val="22"/>
          <w:u w:val="none"/>
        </w:rPr>
        <w:t>ategories:</w:t>
      </w:r>
    </w:p>
    <w:p w:rsidR="005E68FE" w:rsidRDefault="005E68FE" w:rsidP="007963F4">
      <w:pPr>
        <w:pStyle w:val="Heading9"/>
        <w:ind w:firstLine="0"/>
        <w:jc w:val="left"/>
        <w:rPr>
          <w:rFonts w:ascii="Verdana" w:hAnsi="Verdana"/>
          <w:szCs w:val="22"/>
          <w:u w:val="none"/>
        </w:rPr>
      </w:pPr>
      <w:r>
        <w:rPr>
          <w:rFonts w:ascii="Verdana" w:hAnsi="Verdana"/>
          <w:szCs w:val="22"/>
          <w:u w:val="none"/>
        </w:rPr>
        <w:t>For 2019</w:t>
      </w:r>
      <w:r w:rsidR="00466D4E">
        <w:rPr>
          <w:rFonts w:ascii="Verdana" w:hAnsi="Verdana"/>
          <w:szCs w:val="22"/>
          <w:u w:val="none"/>
        </w:rPr>
        <w:t>-</w:t>
      </w:r>
      <w:r>
        <w:rPr>
          <w:rFonts w:ascii="Verdana" w:hAnsi="Verdana"/>
          <w:szCs w:val="22"/>
          <w:u w:val="none"/>
        </w:rPr>
        <w:t xml:space="preserve">20 grants will be available within three categories as described below: </w:t>
      </w:r>
    </w:p>
    <w:p w:rsidR="005E68FE" w:rsidRDefault="005E68FE" w:rsidP="007963F4">
      <w:pPr>
        <w:pStyle w:val="Heading9"/>
        <w:ind w:firstLine="0"/>
        <w:jc w:val="left"/>
        <w:rPr>
          <w:rFonts w:ascii="Verdana" w:hAnsi="Verdana"/>
          <w:szCs w:val="22"/>
          <w:u w:val="none"/>
        </w:rPr>
      </w:pPr>
    </w:p>
    <w:p w:rsidR="005E68FE" w:rsidRPr="00BD253C" w:rsidRDefault="005E68FE" w:rsidP="00BD253C">
      <w:pPr>
        <w:numPr>
          <w:ilvl w:val="0"/>
          <w:numId w:val="20"/>
        </w:numPr>
        <w:rPr>
          <w:rFonts w:ascii="Verdana" w:hAnsi="Verdana"/>
          <w:b/>
          <w:sz w:val="22"/>
          <w:szCs w:val="22"/>
        </w:rPr>
      </w:pPr>
      <w:r w:rsidRPr="00BD253C">
        <w:rPr>
          <w:rFonts w:ascii="Verdana" w:hAnsi="Verdana"/>
          <w:b/>
          <w:sz w:val="22"/>
          <w:szCs w:val="22"/>
        </w:rPr>
        <w:t>Learning Enrichment</w:t>
      </w:r>
      <w:r w:rsidR="003A35FA">
        <w:rPr>
          <w:rFonts w:ascii="Verdana" w:hAnsi="Verdana"/>
          <w:b/>
          <w:sz w:val="22"/>
          <w:szCs w:val="22"/>
        </w:rPr>
        <w:t xml:space="preserve"> and Supports</w:t>
      </w:r>
      <w:r w:rsidRPr="00BD253C">
        <w:rPr>
          <w:rFonts w:ascii="Verdana" w:hAnsi="Verdana"/>
          <w:b/>
          <w:sz w:val="22"/>
          <w:szCs w:val="22"/>
        </w:rPr>
        <w:t xml:space="preserve"> – funding range of $25,000 to $60,000</w:t>
      </w:r>
    </w:p>
    <w:p w:rsidR="0090034F" w:rsidRPr="00950158" w:rsidRDefault="0090034F" w:rsidP="0090034F">
      <w:pPr>
        <w:rPr>
          <w:rFonts w:ascii="Verdana" w:hAnsi="Verdana"/>
          <w:sz w:val="22"/>
          <w:szCs w:val="22"/>
        </w:rPr>
      </w:pPr>
      <w:r w:rsidRPr="00950158">
        <w:rPr>
          <w:rFonts w:ascii="Verdana" w:hAnsi="Verdana"/>
          <w:sz w:val="22"/>
          <w:szCs w:val="22"/>
        </w:rPr>
        <w:t>The Learning Enrichment and Supports category includes a variety of program approaches with the common goal of improving academic and social engagem</w:t>
      </w:r>
      <w:r w:rsidR="00582589">
        <w:rPr>
          <w:rFonts w:ascii="Verdana" w:hAnsi="Verdana"/>
          <w:sz w:val="22"/>
          <w:szCs w:val="22"/>
        </w:rPr>
        <w:t>ent among middle-</w:t>
      </w:r>
      <w:r w:rsidRPr="00950158">
        <w:rPr>
          <w:rFonts w:ascii="Verdana" w:hAnsi="Verdana"/>
          <w:sz w:val="22"/>
          <w:szCs w:val="22"/>
        </w:rPr>
        <w:t xml:space="preserve">school aged youth.  Example approaches include: </w:t>
      </w:r>
    </w:p>
    <w:p w:rsidR="0090034F" w:rsidRPr="00950158" w:rsidRDefault="0090034F" w:rsidP="0090034F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950158">
        <w:rPr>
          <w:rFonts w:ascii="Verdana" w:hAnsi="Verdana"/>
          <w:sz w:val="22"/>
          <w:szCs w:val="22"/>
        </w:rPr>
        <w:t>Learning enrichment programs offering access to experiences and opportunities to youth who may not otherwise have access and that are also connected to possible educational pathways or futur</w:t>
      </w:r>
      <w:r w:rsidR="00582589">
        <w:rPr>
          <w:rFonts w:ascii="Verdana" w:hAnsi="Verdana"/>
          <w:sz w:val="22"/>
          <w:szCs w:val="22"/>
        </w:rPr>
        <w:t>es (such as</w:t>
      </w:r>
      <w:r w:rsidRPr="00950158">
        <w:rPr>
          <w:rFonts w:ascii="Verdana" w:hAnsi="Verdana"/>
          <w:sz w:val="22"/>
          <w:szCs w:val="22"/>
        </w:rPr>
        <w:t xml:space="preserve"> experiential learning activities or positive adult role models from across industry). These programs often engage a large number of youth across multiple locations.</w:t>
      </w:r>
    </w:p>
    <w:p w:rsidR="0090034F" w:rsidRPr="00950158" w:rsidRDefault="0090034F" w:rsidP="0090034F">
      <w:pPr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950158">
        <w:rPr>
          <w:rFonts w:ascii="Verdana" w:hAnsi="Verdana"/>
          <w:sz w:val="22"/>
          <w:szCs w:val="22"/>
        </w:rPr>
        <w:t xml:space="preserve">Learning support programs offering more intensive and comprehensive supports (such as, mentorship, social-emotional skills development, homework help, etc.) to a smaller number of youth. </w:t>
      </w:r>
    </w:p>
    <w:p w:rsidR="0090034F" w:rsidRPr="00D038B9" w:rsidRDefault="0090034F" w:rsidP="0090034F">
      <w:pPr>
        <w:pStyle w:val="ListParagraph"/>
        <w:ind w:left="0"/>
        <w:rPr>
          <w:rFonts w:ascii="Verdana" w:hAnsi="Verdana"/>
        </w:rPr>
      </w:pPr>
    </w:p>
    <w:p w:rsidR="0090034F" w:rsidRPr="00D038B9" w:rsidRDefault="0090034F" w:rsidP="0090034F">
      <w:pPr>
        <w:pStyle w:val="ListParagraph"/>
        <w:ind w:left="0"/>
        <w:rPr>
          <w:rFonts w:ascii="Verdana" w:hAnsi="Verdana"/>
        </w:rPr>
      </w:pPr>
      <w:r w:rsidRPr="00D038B9">
        <w:rPr>
          <w:rFonts w:ascii="Verdana" w:hAnsi="Verdana"/>
        </w:rPr>
        <w:t>Criteria will include:</w:t>
      </w:r>
    </w:p>
    <w:p w:rsidR="0090034F" w:rsidRPr="00950158" w:rsidRDefault="0090034F" w:rsidP="0090034F">
      <w:pPr>
        <w:pStyle w:val="ListParagraph"/>
        <w:numPr>
          <w:ilvl w:val="0"/>
          <w:numId w:val="26"/>
        </w:numPr>
        <w:ind w:left="1080"/>
        <w:rPr>
          <w:rFonts w:ascii="Verdana" w:hAnsi="Verdana"/>
        </w:rPr>
      </w:pPr>
      <w:r w:rsidRPr="00950158">
        <w:rPr>
          <w:rFonts w:ascii="Verdana" w:hAnsi="Verdana"/>
        </w:rPr>
        <w:t>Clear align</w:t>
      </w:r>
      <w:r w:rsidR="00582589">
        <w:rPr>
          <w:rFonts w:ascii="Verdana" w:hAnsi="Verdana"/>
        </w:rPr>
        <w:t>ment with ABACUS goals and four-</w:t>
      </w:r>
      <w:r w:rsidRPr="00950158">
        <w:rPr>
          <w:rFonts w:ascii="Verdana" w:hAnsi="Verdana"/>
        </w:rPr>
        <w:t xml:space="preserve">pillar framework  </w:t>
      </w:r>
    </w:p>
    <w:p w:rsidR="0090034F" w:rsidRPr="00D038B9" w:rsidRDefault="0090034F" w:rsidP="0090034F">
      <w:pPr>
        <w:pStyle w:val="ListParagraph"/>
        <w:numPr>
          <w:ilvl w:val="0"/>
          <w:numId w:val="26"/>
        </w:numPr>
        <w:ind w:left="1080"/>
        <w:rPr>
          <w:rFonts w:ascii="Verdana" w:hAnsi="Verdana"/>
        </w:rPr>
      </w:pPr>
      <w:r w:rsidRPr="00D038B9">
        <w:rPr>
          <w:rFonts w:ascii="Verdana" w:hAnsi="Verdana"/>
        </w:rPr>
        <w:t>Strong school board connection/support</w:t>
      </w:r>
    </w:p>
    <w:p w:rsidR="0090034F" w:rsidRPr="00D038B9" w:rsidRDefault="0090034F" w:rsidP="0090034F">
      <w:pPr>
        <w:pStyle w:val="ListParagraph"/>
        <w:numPr>
          <w:ilvl w:val="0"/>
          <w:numId w:val="26"/>
        </w:numPr>
        <w:ind w:left="1080"/>
        <w:rPr>
          <w:rFonts w:ascii="Verdana" w:hAnsi="Verdana"/>
        </w:rPr>
      </w:pPr>
      <w:r w:rsidRPr="00D038B9">
        <w:rPr>
          <w:rFonts w:ascii="Verdana" w:hAnsi="Verdana"/>
        </w:rPr>
        <w:t>Show</w:t>
      </w:r>
      <w:r>
        <w:rPr>
          <w:rFonts w:ascii="Verdana" w:hAnsi="Verdana"/>
        </w:rPr>
        <w:t>s</w:t>
      </w:r>
      <w:r w:rsidRPr="00D038B9">
        <w:rPr>
          <w:rFonts w:ascii="Verdana" w:hAnsi="Verdana"/>
        </w:rPr>
        <w:t xml:space="preserve"> promise for scaling </w:t>
      </w:r>
    </w:p>
    <w:p w:rsidR="003F6012" w:rsidRPr="003F6012" w:rsidRDefault="003F6012" w:rsidP="003F6012">
      <w:pPr>
        <w:rPr>
          <w:rFonts w:ascii="Verdana" w:hAnsi="Verdana"/>
          <w:sz w:val="22"/>
          <w:szCs w:val="22"/>
        </w:rPr>
      </w:pPr>
    </w:p>
    <w:p w:rsidR="005E68FE" w:rsidRDefault="00413E59" w:rsidP="00413E59">
      <w:pPr>
        <w:numPr>
          <w:ilvl w:val="0"/>
          <w:numId w:val="20"/>
        </w:numPr>
        <w:rPr>
          <w:rFonts w:ascii="Verdana" w:hAnsi="Verdana"/>
          <w:b/>
          <w:sz w:val="22"/>
          <w:szCs w:val="22"/>
        </w:rPr>
      </w:pPr>
      <w:r w:rsidRPr="00413E59">
        <w:rPr>
          <w:rFonts w:ascii="Verdana" w:hAnsi="Verdana"/>
          <w:b/>
          <w:sz w:val="22"/>
          <w:szCs w:val="22"/>
        </w:rPr>
        <w:t>Enhancement Programs</w:t>
      </w:r>
      <w:r>
        <w:rPr>
          <w:rFonts w:ascii="Verdana" w:hAnsi="Verdana"/>
          <w:b/>
          <w:sz w:val="22"/>
          <w:szCs w:val="22"/>
        </w:rPr>
        <w:t xml:space="preserve"> – funding range $5,000 to $30,000</w:t>
      </w:r>
    </w:p>
    <w:p w:rsidR="00413E59" w:rsidRDefault="00413E59" w:rsidP="00582589">
      <w:pPr>
        <w:rPr>
          <w:rFonts w:ascii="Verdana" w:hAnsi="Verdana"/>
          <w:sz w:val="22"/>
          <w:szCs w:val="22"/>
        </w:rPr>
      </w:pPr>
      <w:r w:rsidRPr="00413E59">
        <w:rPr>
          <w:rFonts w:ascii="Verdana" w:hAnsi="Verdana"/>
          <w:sz w:val="22"/>
          <w:szCs w:val="22"/>
        </w:rPr>
        <w:t xml:space="preserve">This category provides the opportunity to enhance existing </w:t>
      </w:r>
      <w:r w:rsidR="00282564">
        <w:rPr>
          <w:rFonts w:ascii="Verdana" w:hAnsi="Verdana"/>
          <w:sz w:val="22"/>
          <w:szCs w:val="22"/>
        </w:rPr>
        <w:t xml:space="preserve">community </w:t>
      </w:r>
      <w:r w:rsidRPr="00413E59">
        <w:rPr>
          <w:rFonts w:ascii="Verdana" w:hAnsi="Verdana"/>
          <w:sz w:val="22"/>
          <w:szCs w:val="22"/>
        </w:rPr>
        <w:t xml:space="preserve">programs </w:t>
      </w:r>
      <w:r w:rsidR="00B81287">
        <w:rPr>
          <w:rFonts w:ascii="Verdana" w:hAnsi="Verdana"/>
          <w:sz w:val="22"/>
          <w:szCs w:val="22"/>
        </w:rPr>
        <w:t xml:space="preserve">not currently funded through </w:t>
      </w:r>
      <w:r w:rsidR="00BD253C">
        <w:rPr>
          <w:rFonts w:ascii="Verdana" w:hAnsi="Verdana"/>
          <w:sz w:val="22"/>
          <w:szCs w:val="22"/>
        </w:rPr>
        <w:t>ABACUS,</w:t>
      </w:r>
      <w:r w:rsidR="00B81287">
        <w:rPr>
          <w:rFonts w:ascii="Verdana" w:hAnsi="Verdana"/>
          <w:sz w:val="22"/>
          <w:szCs w:val="22"/>
        </w:rPr>
        <w:t xml:space="preserve"> </w:t>
      </w:r>
      <w:r w:rsidRPr="00413E59">
        <w:rPr>
          <w:rFonts w:ascii="Verdana" w:hAnsi="Verdana"/>
          <w:sz w:val="22"/>
          <w:szCs w:val="22"/>
        </w:rPr>
        <w:t xml:space="preserve">with activities/services based on the goals of </w:t>
      </w:r>
      <w:r w:rsidR="00582589">
        <w:rPr>
          <w:rFonts w:ascii="Verdana" w:hAnsi="Verdana"/>
          <w:sz w:val="22"/>
          <w:szCs w:val="22"/>
        </w:rPr>
        <w:t>ABACUS, for</w:t>
      </w:r>
      <w:r w:rsidRPr="00413E59">
        <w:rPr>
          <w:rFonts w:ascii="Verdana" w:hAnsi="Verdana"/>
          <w:sz w:val="22"/>
          <w:szCs w:val="22"/>
        </w:rPr>
        <w:t xml:space="preserve"> </w:t>
      </w:r>
      <w:r w:rsidR="00582589">
        <w:rPr>
          <w:rFonts w:ascii="Verdana" w:hAnsi="Verdana"/>
          <w:sz w:val="22"/>
          <w:szCs w:val="22"/>
        </w:rPr>
        <w:t>e</w:t>
      </w:r>
      <w:r w:rsidRPr="00413E59">
        <w:rPr>
          <w:rFonts w:ascii="Verdana" w:hAnsi="Verdana"/>
          <w:sz w:val="22"/>
          <w:szCs w:val="22"/>
        </w:rPr>
        <w:t>xample, an existing recreational program looking for support to add a tutoring component.</w:t>
      </w:r>
    </w:p>
    <w:p w:rsidR="00413E59" w:rsidRDefault="00413E59" w:rsidP="00413E59">
      <w:pPr>
        <w:rPr>
          <w:rFonts w:ascii="Verdana" w:hAnsi="Verdana"/>
          <w:sz w:val="22"/>
          <w:szCs w:val="22"/>
        </w:rPr>
      </w:pPr>
    </w:p>
    <w:p w:rsidR="00413E59" w:rsidRPr="00413E59" w:rsidRDefault="00413E59" w:rsidP="00BD253C">
      <w:pPr>
        <w:rPr>
          <w:rFonts w:ascii="Verdana" w:hAnsi="Verdana"/>
          <w:sz w:val="22"/>
          <w:szCs w:val="22"/>
        </w:rPr>
      </w:pPr>
      <w:r w:rsidRPr="00413E59">
        <w:rPr>
          <w:rFonts w:ascii="Verdana" w:hAnsi="Verdana"/>
          <w:sz w:val="22"/>
          <w:szCs w:val="22"/>
        </w:rPr>
        <w:t>Criteria include:</w:t>
      </w:r>
    </w:p>
    <w:p w:rsidR="00413E59" w:rsidRPr="00413E59" w:rsidRDefault="0090034F" w:rsidP="00BD253C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Organizations with evidence-based, established programs that have demonstrated success and will add or increase support relevant to ABACUS goals </w:t>
      </w:r>
    </w:p>
    <w:p w:rsidR="00413E59" w:rsidRPr="00413E59" w:rsidRDefault="00BD253C" w:rsidP="00413E59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413E59" w:rsidRPr="00413E59">
        <w:rPr>
          <w:rFonts w:ascii="Verdana" w:hAnsi="Verdana"/>
        </w:rPr>
        <w:t xml:space="preserve">ignificant </w:t>
      </w:r>
      <w:r w:rsidR="00B81287">
        <w:rPr>
          <w:rFonts w:ascii="Verdana" w:hAnsi="Verdana"/>
        </w:rPr>
        <w:t xml:space="preserve">in-kind </w:t>
      </w:r>
      <w:r w:rsidR="00413E59" w:rsidRPr="00413E59">
        <w:rPr>
          <w:rFonts w:ascii="Verdana" w:hAnsi="Verdana"/>
        </w:rPr>
        <w:t>contribution</w:t>
      </w:r>
      <w:r w:rsidR="00B81287">
        <w:rPr>
          <w:rFonts w:ascii="Verdana" w:hAnsi="Verdana"/>
        </w:rPr>
        <w:t xml:space="preserve"> from applicant</w:t>
      </w:r>
    </w:p>
    <w:p w:rsidR="003E5F2D" w:rsidRPr="003E5F2D" w:rsidRDefault="003E5F2D" w:rsidP="003E5F2D">
      <w:pPr>
        <w:pStyle w:val="ListParagraph"/>
        <w:ind w:left="1080"/>
        <w:rPr>
          <w:rFonts w:ascii="Verdana" w:hAnsi="Verdana"/>
        </w:rPr>
      </w:pPr>
    </w:p>
    <w:p w:rsidR="00413E59" w:rsidRPr="00D152E4" w:rsidRDefault="005E7592" w:rsidP="00413E59">
      <w:pPr>
        <w:numPr>
          <w:ilvl w:val="0"/>
          <w:numId w:val="20"/>
        </w:numPr>
        <w:rPr>
          <w:rFonts w:ascii="Verdana" w:hAnsi="Verdana"/>
          <w:b/>
          <w:sz w:val="22"/>
          <w:szCs w:val="22"/>
        </w:rPr>
      </w:pPr>
      <w:r w:rsidRPr="00D152E4">
        <w:rPr>
          <w:rFonts w:ascii="Verdana" w:hAnsi="Verdana"/>
          <w:b/>
          <w:sz w:val="22"/>
          <w:szCs w:val="22"/>
        </w:rPr>
        <w:t>Innovation Funding – funding range $5,000 to $20,000</w:t>
      </w:r>
    </w:p>
    <w:p w:rsidR="005E7592" w:rsidRDefault="005E7592" w:rsidP="00BD25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 </w:t>
      </w:r>
      <w:r w:rsidR="00BD253C">
        <w:rPr>
          <w:rFonts w:ascii="Verdana" w:hAnsi="Verdana"/>
          <w:sz w:val="22"/>
          <w:szCs w:val="22"/>
        </w:rPr>
        <w:t xml:space="preserve">example of </w:t>
      </w:r>
      <w:r>
        <w:rPr>
          <w:rFonts w:ascii="Verdana" w:hAnsi="Verdana"/>
          <w:sz w:val="22"/>
          <w:szCs w:val="22"/>
        </w:rPr>
        <w:t>innovation could be</w:t>
      </w:r>
      <w:r w:rsidR="00B81287">
        <w:rPr>
          <w:rFonts w:ascii="Verdana" w:hAnsi="Verdana"/>
          <w:sz w:val="22"/>
          <w:szCs w:val="22"/>
        </w:rPr>
        <w:t xml:space="preserve"> piloting</w:t>
      </w:r>
      <w:r>
        <w:rPr>
          <w:rFonts w:ascii="Verdana" w:hAnsi="Verdana"/>
          <w:sz w:val="22"/>
          <w:szCs w:val="22"/>
        </w:rPr>
        <w:t xml:space="preserve"> a new program or approach</w:t>
      </w:r>
      <w:r w:rsidR="00B81287">
        <w:rPr>
          <w:rFonts w:ascii="Verdana" w:hAnsi="Verdana"/>
          <w:sz w:val="22"/>
          <w:szCs w:val="22"/>
        </w:rPr>
        <w:t xml:space="preserve"> that works towards the goals of ABACUS.  It could also be testing a novel program element, curriculum or </w:t>
      </w:r>
      <w:r w:rsidR="00B81287">
        <w:rPr>
          <w:rFonts w:ascii="Verdana" w:hAnsi="Verdana"/>
          <w:sz w:val="22"/>
          <w:szCs w:val="22"/>
        </w:rPr>
        <w:lastRenderedPageBreak/>
        <w:t>reso</w:t>
      </w:r>
      <w:r w:rsidR="00BD253C">
        <w:rPr>
          <w:rFonts w:ascii="Verdana" w:hAnsi="Verdana"/>
          <w:sz w:val="22"/>
          <w:szCs w:val="22"/>
        </w:rPr>
        <w:t>urce within an existing program, f</w:t>
      </w:r>
      <w:r w:rsidR="00B81287">
        <w:rPr>
          <w:rFonts w:ascii="Verdana" w:hAnsi="Verdana"/>
          <w:sz w:val="22"/>
          <w:szCs w:val="22"/>
        </w:rPr>
        <w:t xml:space="preserve">or example, a creative way to intentionally connect parents, educators and service providers in a child’s education. </w:t>
      </w:r>
    </w:p>
    <w:p w:rsidR="00714F88" w:rsidRDefault="00714F88" w:rsidP="005E7592">
      <w:pPr>
        <w:rPr>
          <w:rFonts w:ascii="Verdana" w:hAnsi="Verdana"/>
          <w:sz w:val="22"/>
          <w:szCs w:val="22"/>
        </w:rPr>
      </w:pPr>
    </w:p>
    <w:p w:rsidR="005E7592" w:rsidRDefault="005E7592" w:rsidP="005E759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Criteria will include:</w:t>
      </w:r>
    </w:p>
    <w:p w:rsidR="00D152E4" w:rsidRPr="00D152E4" w:rsidRDefault="0090034F" w:rsidP="00AE0121">
      <w:pPr>
        <w:pStyle w:val="ListParagraph"/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 xml:space="preserve">Piloting </w:t>
      </w:r>
      <w:r w:rsidR="00950158">
        <w:rPr>
          <w:rFonts w:ascii="Verdana" w:hAnsi="Verdana"/>
        </w:rPr>
        <w:t xml:space="preserve">a </w:t>
      </w:r>
      <w:r>
        <w:rPr>
          <w:rFonts w:ascii="Verdana" w:hAnsi="Verdana"/>
        </w:rPr>
        <w:t>n</w:t>
      </w:r>
      <w:r w:rsidR="00950158">
        <w:rPr>
          <w:rFonts w:ascii="Verdana" w:hAnsi="Verdana"/>
        </w:rPr>
        <w:t>ew idea</w:t>
      </w:r>
      <w:r w:rsidR="00D152E4" w:rsidRPr="00D152E4">
        <w:rPr>
          <w:rFonts w:ascii="Verdana" w:hAnsi="Verdana"/>
        </w:rPr>
        <w:t xml:space="preserve"> or</w:t>
      </w:r>
      <w:r w:rsidR="00950158">
        <w:rPr>
          <w:rFonts w:ascii="Verdana" w:hAnsi="Verdana"/>
        </w:rPr>
        <w:t xml:space="preserve"> </w:t>
      </w:r>
      <w:r w:rsidR="00582589">
        <w:rPr>
          <w:rFonts w:ascii="Verdana" w:hAnsi="Verdana"/>
        </w:rPr>
        <w:t xml:space="preserve">new </w:t>
      </w:r>
      <w:r w:rsidR="00950158">
        <w:rPr>
          <w:rFonts w:ascii="Verdana" w:hAnsi="Verdana"/>
        </w:rPr>
        <w:t>ways of m</w:t>
      </w:r>
      <w:r w:rsidR="002D7263">
        <w:rPr>
          <w:rFonts w:ascii="Verdana" w:hAnsi="Verdana"/>
        </w:rPr>
        <w:t xml:space="preserve">eeting </w:t>
      </w:r>
      <w:r w:rsidR="00D152E4" w:rsidRPr="00D152E4">
        <w:rPr>
          <w:rFonts w:ascii="Verdana" w:hAnsi="Verdana"/>
        </w:rPr>
        <w:t>identified needs</w:t>
      </w:r>
    </w:p>
    <w:p w:rsidR="005E7592" w:rsidRDefault="00950158" w:rsidP="00121B63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950158">
        <w:rPr>
          <w:rFonts w:ascii="Verdana" w:hAnsi="Verdana"/>
        </w:rPr>
        <w:t>May offer a support/opportunity beyond the four pillar framework</w:t>
      </w:r>
    </w:p>
    <w:p w:rsidR="00950158" w:rsidRPr="00950158" w:rsidRDefault="00950158" w:rsidP="00950158">
      <w:pPr>
        <w:pStyle w:val="ListParagraph"/>
        <w:ind w:left="1080"/>
        <w:rPr>
          <w:rFonts w:ascii="Verdana" w:hAnsi="Verdana"/>
        </w:rPr>
      </w:pPr>
    </w:p>
    <w:p w:rsidR="004773D6" w:rsidRDefault="007963F4" w:rsidP="00AE0121">
      <w:pPr>
        <w:pStyle w:val="Heading9"/>
        <w:ind w:firstLine="0"/>
        <w:jc w:val="left"/>
        <w:rPr>
          <w:rFonts w:ascii="Verdana" w:hAnsi="Verdana"/>
          <w:szCs w:val="22"/>
          <w:u w:val="none"/>
        </w:rPr>
      </w:pPr>
      <w:r>
        <w:rPr>
          <w:rFonts w:ascii="Verdana" w:hAnsi="Verdana"/>
          <w:szCs w:val="22"/>
          <w:u w:val="none"/>
        </w:rPr>
        <w:t xml:space="preserve">Proposal </w:t>
      </w:r>
      <w:r w:rsidR="00AE0121">
        <w:rPr>
          <w:rFonts w:ascii="Verdana" w:hAnsi="Verdana"/>
          <w:szCs w:val="22"/>
          <w:u w:val="none"/>
        </w:rPr>
        <w:t>a</w:t>
      </w:r>
      <w:r>
        <w:rPr>
          <w:rFonts w:ascii="Verdana" w:hAnsi="Verdana"/>
          <w:szCs w:val="22"/>
          <w:u w:val="none"/>
        </w:rPr>
        <w:t>ssessment:</w:t>
      </w:r>
    </w:p>
    <w:p w:rsidR="002C2282" w:rsidRPr="00177D56" w:rsidRDefault="002C2282" w:rsidP="00AE0121">
      <w:pPr>
        <w:pStyle w:val="Heading9"/>
        <w:ind w:firstLine="0"/>
        <w:jc w:val="left"/>
        <w:rPr>
          <w:rFonts w:ascii="Verdana" w:hAnsi="Verdana"/>
          <w:szCs w:val="22"/>
        </w:rPr>
      </w:pPr>
      <w:r w:rsidRPr="007963F4">
        <w:rPr>
          <w:rFonts w:ascii="Verdana" w:hAnsi="Verdana"/>
          <w:szCs w:val="22"/>
          <w:u w:val="none"/>
        </w:rPr>
        <w:t>The</w:t>
      </w:r>
      <w:r w:rsidR="00AE0121">
        <w:rPr>
          <w:rFonts w:ascii="Verdana" w:hAnsi="Verdana"/>
          <w:szCs w:val="22"/>
          <w:u w:val="none"/>
        </w:rPr>
        <w:t>se</w:t>
      </w:r>
      <w:r w:rsidRPr="007963F4">
        <w:rPr>
          <w:rFonts w:ascii="Verdana" w:hAnsi="Verdana"/>
          <w:szCs w:val="22"/>
          <w:u w:val="none"/>
        </w:rPr>
        <w:t xml:space="preserve"> criteria will be used to assess all applications for support from ABACUS</w:t>
      </w:r>
      <w:r w:rsidRPr="003E5F2D">
        <w:rPr>
          <w:rFonts w:ascii="Verdana" w:hAnsi="Verdana"/>
          <w:szCs w:val="22"/>
          <w:u w:val="none"/>
        </w:rPr>
        <w:t>:</w:t>
      </w:r>
    </w:p>
    <w:p w:rsidR="002C2282" w:rsidRPr="00177D56" w:rsidRDefault="002C2282" w:rsidP="007963F4">
      <w:pPr>
        <w:widowControl/>
        <w:tabs>
          <w:tab w:val="left" w:pos="-360"/>
          <w:tab w:val="left" w:pos="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right" w:pos="7380"/>
        </w:tabs>
        <w:ind w:firstLine="9"/>
        <w:rPr>
          <w:rFonts w:ascii="Verdana" w:hAnsi="Verdana"/>
          <w:sz w:val="22"/>
          <w:szCs w:val="22"/>
        </w:rPr>
      </w:pPr>
    </w:p>
    <w:p w:rsidR="002C2282" w:rsidRDefault="002C2282" w:rsidP="007963F4">
      <w:pPr>
        <w:pStyle w:val="1LargeBullet"/>
        <w:widowControl/>
        <w:numPr>
          <w:ilvl w:val="0"/>
          <w:numId w:val="1"/>
        </w:numPr>
        <w:tabs>
          <w:tab w:val="clear" w:pos="720"/>
          <w:tab w:val="clear" w:pos="1080"/>
          <w:tab w:val="left" w:pos="-526"/>
          <w:tab w:val="left" w:pos="374"/>
          <w:tab w:val="num" w:pos="7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 xml:space="preserve">Direct relevance to </w:t>
      </w:r>
      <w:r>
        <w:rPr>
          <w:rFonts w:ascii="Verdana" w:hAnsi="Verdana"/>
          <w:sz w:val="22"/>
          <w:szCs w:val="22"/>
        </w:rPr>
        <w:t>fund</w:t>
      </w:r>
      <w:r w:rsidRPr="00177D56">
        <w:rPr>
          <w:rFonts w:ascii="Verdana" w:hAnsi="Verdana"/>
          <w:sz w:val="22"/>
          <w:szCs w:val="22"/>
        </w:rPr>
        <w:t xml:space="preserve"> priorities</w:t>
      </w:r>
    </w:p>
    <w:p w:rsidR="002C2282" w:rsidRPr="00177D56" w:rsidRDefault="002C2282" w:rsidP="007963F4">
      <w:pPr>
        <w:pStyle w:val="1LargeBullet"/>
        <w:widowControl/>
        <w:numPr>
          <w:ilvl w:val="0"/>
          <w:numId w:val="1"/>
        </w:numPr>
        <w:tabs>
          <w:tab w:val="clear" w:pos="720"/>
          <w:tab w:val="clear" w:pos="1080"/>
          <w:tab w:val="left" w:pos="-526"/>
          <w:tab w:val="left" w:pos="374"/>
          <w:tab w:val="num" w:pos="7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Interest and commitment to partner with HCF on ABACUS </w:t>
      </w:r>
      <w:r w:rsidR="00282564">
        <w:rPr>
          <w:rFonts w:ascii="Verdana" w:hAnsi="Verdana"/>
          <w:sz w:val="22"/>
          <w:szCs w:val="22"/>
        </w:rPr>
        <w:t>and four</w:t>
      </w:r>
      <w:r w:rsidR="00AE0121">
        <w:rPr>
          <w:rFonts w:ascii="Verdana" w:hAnsi="Verdana"/>
          <w:sz w:val="22"/>
          <w:szCs w:val="22"/>
        </w:rPr>
        <w:t>-</w:t>
      </w:r>
      <w:r w:rsidR="00282564">
        <w:rPr>
          <w:rFonts w:ascii="Verdana" w:hAnsi="Verdana"/>
          <w:sz w:val="22"/>
          <w:szCs w:val="22"/>
        </w:rPr>
        <w:t>pillar framework</w:t>
      </w:r>
    </w:p>
    <w:p w:rsidR="002C2282" w:rsidRPr="00177D56" w:rsidRDefault="002C2282" w:rsidP="007963F4">
      <w:pPr>
        <w:pStyle w:val="1LargeBullet"/>
        <w:widowControl/>
        <w:numPr>
          <w:ilvl w:val="0"/>
          <w:numId w:val="2"/>
        </w:numPr>
        <w:tabs>
          <w:tab w:val="clear" w:pos="720"/>
          <w:tab w:val="left" w:pos="-526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>Demonstrated capacity to plan and implement the work</w:t>
      </w:r>
      <w:r w:rsidR="00282564">
        <w:rPr>
          <w:rFonts w:ascii="Verdana" w:hAnsi="Verdana"/>
          <w:sz w:val="22"/>
          <w:szCs w:val="22"/>
        </w:rPr>
        <w:t xml:space="preserve"> within </w:t>
      </w:r>
      <w:r w:rsidR="00AE0121">
        <w:rPr>
          <w:rFonts w:ascii="Verdana" w:hAnsi="Verdana"/>
          <w:sz w:val="22"/>
          <w:szCs w:val="22"/>
        </w:rPr>
        <w:t xml:space="preserve">the </w:t>
      </w:r>
      <w:r w:rsidR="00282564">
        <w:rPr>
          <w:rFonts w:ascii="Verdana" w:hAnsi="Verdana"/>
          <w:sz w:val="22"/>
          <w:szCs w:val="22"/>
        </w:rPr>
        <w:t>funding period</w:t>
      </w:r>
    </w:p>
    <w:p w:rsidR="002C2282" w:rsidRPr="00177D56" w:rsidRDefault="00282564" w:rsidP="007963F4">
      <w:pPr>
        <w:pStyle w:val="1LargeBullet"/>
        <w:widowControl/>
        <w:numPr>
          <w:ilvl w:val="0"/>
          <w:numId w:val="4"/>
        </w:numPr>
        <w:tabs>
          <w:tab w:val="clear" w:pos="720"/>
          <w:tab w:val="left" w:pos="-526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Demonstrated need for program, clarity in program model and compelling rationale for the approach proposed </w:t>
      </w:r>
    </w:p>
    <w:p w:rsidR="002C2282" w:rsidRPr="00177D56" w:rsidRDefault="002C2282" w:rsidP="007963F4">
      <w:pPr>
        <w:pStyle w:val="1LargeBullet"/>
        <w:widowControl/>
        <w:numPr>
          <w:ilvl w:val="0"/>
          <w:numId w:val="5"/>
        </w:numPr>
        <w:tabs>
          <w:tab w:val="clear" w:pos="720"/>
          <w:tab w:val="left" w:pos="-526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>Sound fiscal policies and a commitment to financial accountability</w:t>
      </w:r>
    </w:p>
    <w:p w:rsidR="00950158" w:rsidRDefault="00282564" w:rsidP="00121B63">
      <w:pPr>
        <w:pStyle w:val="1LargeBullet"/>
        <w:widowControl/>
        <w:numPr>
          <w:ilvl w:val="0"/>
          <w:numId w:val="7"/>
        </w:numPr>
        <w:tabs>
          <w:tab w:val="clear" w:pos="720"/>
          <w:tab w:val="clear" w:pos="1080"/>
          <w:tab w:val="left" w:pos="-526"/>
          <w:tab w:val="left" w:pos="374"/>
          <w:tab w:val="num" w:pos="7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 w:rsidRPr="00950158">
        <w:rPr>
          <w:rFonts w:ascii="Verdana" w:hAnsi="Verdana"/>
          <w:sz w:val="22"/>
          <w:szCs w:val="22"/>
        </w:rPr>
        <w:t>Appropriate</w:t>
      </w:r>
      <w:r w:rsidR="00950158" w:rsidRPr="00950158">
        <w:rPr>
          <w:rFonts w:ascii="Verdana" w:hAnsi="Verdana"/>
          <w:sz w:val="22"/>
          <w:szCs w:val="22"/>
        </w:rPr>
        <w:t xml:space="preserve"> and feasible evaluation plan including realistic, measurable goals</w:t>
      </w:r>
      <w:r w:rsidRPr="00950158">
        <w:rPr>
          <w:rFonts w:ascii="Verdana" w:hAnsi="Verdana"/>
          <w:sz w:val="22"/>
          <w:szCs w:val="22"/>
        </w:rPr>
        <w:t xml:space="preserve"> </w:t>
      </w:r>
      <w:r w:rsidR="00950158" w:rsidRPr="00950158">
        <w:rPr>
          <w:rFonts w:ascii="Verdana" w:hAnsi="Verdana"/>
          <w:sz w:val="22"/>
          <w:szCs w:val="22"/>
        </w:rPr>
        <w:t xml:space="preserve">and a commitment to ongoing evaluation aimed at continuous improvement and measuring impact. </w:t>
      </w:r>
    </w:p>
    <w:p w:rsidR="002C2282" w:rsidRPr="00950158" w:rsidRDefault="002C2282" w:rsidP="00121B63">
      <w:pPr>
        <w:pStyle w:val="1LargeBullet"/>
        <w:widowControl/>
        <w:numPr>
          <w:ilvl w:val="0"/>
          <w:numId w:val="7"/>
        </w:numPr>
        <w:tabs>
          <w:tab w:val="clear" w:pos="720"/>
          <w:tab w:val="clear" w:pos="1080"/>
          <w:tab w:val="left" w:pos="-526"/>
          <w:tab w:val="left" w:pos="374"/>
          <w:tab w:val="num" w:pos="7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 w:rsidRPr="00950158">
        <w:rPr>
          <w:rFonts w:ascii="Verdana" w:hAnsi="Verdana"/>
          <w:sz w:val="22"/>
          <w:szCs w:val="22"/>
        </w:rPr>
        <w:t>Potential to leverage additional financial support</w:t>
      </w:r>
    </w:p>
    <w:p w:rsidR="002C2282" w:rsidRPr="00177D56" w:rsidRDefault="002C2282" w:rsidP="007963F4">
      <w:pPr>
        <w:pStyle w:val="1LargeBullet"/>
        <w:widowControl/>
        <w:numPr>
          <w:ilvl w:val="0"/>
          <w:numId w:val="8"/>
        </w:numPr>
        <w:tabs>
          <w:tab w:val="clear" w:pos="720"/>
          <w:tab w:val="left" w:pos="-526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>Clear and reasonable budget</w:t>
      </w:r>
    </w:p>
    <w:p w:rsidR="002C2282" w:rsidRPr="00177D56" w:rsidRDefault="002C2282" w:rsidP="007963F4">
      <w:pPr>
        <w:pStyle w:val="1LargeBullet"/>
        <w:widowControl/>
        <w:numPr>
          <w:ilvl w:val="0"/>
          <w:numId w:val="9"/>
        </w:numPr>
        <w:tabs>
          <w:tab w:val="clear" w:pos="720"/>
          <w:tab w:val="left" w:pos="-526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>Level of co</w:t>
      </w:r>
      <w:r w:rsidR="001107F1">
        <w:rPr>
          <w:rFonts w:ascii="Verdana" w:hAnsi="Verdana"/>
          <w:sz w:val="22"/>
          <w:szCs w:val="22"/>
        </w:rPr>
        <w:t>-</w:t>
      </w:r>
      <w:r w:rsidRPr="00177D56">
        <w:rPr>
          <w:rFonts w:ascii="Verdana" w:hAnsi="Verdana"/>
          <w:sz w:val="22"/>
          <w:szCs w:val="22"/>
        </w:rPr>
        <w:t>operation</w:t>
      </w:r>
      <w:r>
        <w:rPr>
          <w:rFonts w:ascii="Verdana" w:hAnsi="Verdana"/>
          <w:sz w:val="22"/>
          <w:szCs w:val="22"/>
        </w:rPr>
        <w:t xml:space="preserve"> and collaboration</w:t>
      </w:r>
      <w:r w:rsidRPr="00177D56">
        <w:rPr>
          <w:rFonts w:ascii="Verdana" w:hAnsi="Verdana"/>
          <w:sz w:val="22"/>
          <w:szCs w:val="22"/>
        </w:rPr>
        <w:t xml:space="preserve"> </w:t>
      </w:r>
      <w:r w:rsidR="00282564">
        <w:rPr>
          <w:rFonts w:ascii="Verdana" w:hAnsi="Verdana"/>
          <w:sz w:val="22"/>
          <w:szCs w:val="22"/>
        </w:rPr>
        <w:t xml:space="preserve">and consultation </w:t>
      </w:r>
      <w:r w:rsidRPr="00177D56">
        <w:rPr>
          <w:rFonts w:ascii="Verdana" w:hAnsi="Verdana"/>
          <w:sz w:val="22"/>
          <w:szCs w:val="22"/>
        </w:rPr>
        <w:t>with other groups that could contribute to improved results in the project</w:t>
      </w:r>
      <w:r w:rsidR="00282564">
        <w:rPr>
          <w:rFonts w:ascii="Verdana" w:hAnsi="Verdana"/>
          <w:sz w:val="22"/>
          <w:szCs w:val="22"/>
        </w:rPr>
        <w:t>, i.e. evidence of school board, parent and/or community support</w:t>
      </w:r>
    </w:p>
    <w:p w:rsidR="002C2282" w:rsidRPr="00177D56" w:rsidRDefault="00282564" w:rsidP="007963F4">
      <w:pPr>
        <w:pStyle w:val="1LargeBullet"/>
        <w:widowControl/>
        <w:numPr>
          <w:ilvl w:val="0"/>
          <w:numId w:val="11"/>
        </w:numPr>
        <w:tabs>
          <w:tab w:val="clear" w:pos="720"/>
          <w:tab w:val="left" w:pos="-526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Shows promise for scaling, i.e. replication, systems or cultural change</w:t>
      </w:r>
    </w:p>
    <w:p w:rsidR="002C2282" w:rsidRDefault="002C2282" w:rsidP="007963F4">
      <w:pPr>
        <w:pStyle w:val="1LargeBullet"/>
        <w:widowControl/>
        <w:numPr>
          <w:ilvl w:val="0"/>
          <w:numId w:val="12"/>
        </w:numPr>
        <w:tabs>
          <w:tab w:val="clear" w:pos="720"/>
          <w:tab w:val="left" w:pos="-526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>Need for Hamilton Community Foundation funding</w:t>
      </w:r>
    </w:p>
    <w:p w:rsidR="00830771" w:rsidRPr="00177D56" w:rsidRDefault="00830771" w:rsidP="007963F4">
      <w:pPr>
        <w:pStyle w:val="1LargeBullet"/>
        <w:widowControl/>
        <w:numPr>
          <w:ilvl w:val="0"/>
          <w:numId w:val="12"/>
        </w:numPr>
        <w:tabs>
          <w:tab w:val="clear" w:pos="720"/>
          <w:tab w:val="left" w:pos="-526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Projects should encourage collaboration and create an impact beyond the funding period</w:t>
      </w:r>
    </w:p>
    <w:p w:rsidR="002C2282" w:rsidRDefault="002C2282" w:rsidP="007963F4">
      <w:pPr>
        <w:widowControl/>
        <w:autoSpaceDE/>
        <w:autoSpaceDN/>
        <w:adjustRightInd/>
        <w:rPr>
          <w:rFonts w:ascii="Verdana" w:hAnsi="Verdana" w:cs="Arial"/>
          <w:b/>
          <w:sz w:val="22"/>
          <w:szCs w:val="22"/>
        </w:rPr>
      </w:pPr>
    </w:p>
    <w:p w:rsidR="004773D6" w:rsidRDefault="004773D6" w:rsidP="007963F4">
      <w:pPr>
        <w:widowControl/>
        <w:autoSpaceDE/>
        <w:autoSpaceDN/>
        <w:adjustRightInd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Successful applicants will expected to participate in evaluation and information sharing activities as requested by HCF.</w:t>
      </w:r>
    </w:p>
    <w:p w:rsidR="004773D6" w:rsidRDefault="004773D6" w:rsidP="007963F4">
      <w:pPr>
        <w:widowControl/>
        <w:autoSpaceDE/>
        <w:autoSpaceDN/>
        <w:adjustRightInd/>
        <w:rPr>
          <w:rFonts w:ascii="Verdana" w:hAnsi="Verdana" w:cs="Arial"/>
          <w:b/>
          <w:sz w:val="22"/>
          <w:szCs w:val="22"/>
        </w:rPr>
      </w:pPr>
    </w:p>
    <w:p w:rsidR="00183C7F" w:rsidRDefault="00177D56" w:rsidP="007963F4">
      <w:pPr>
        <w:widowControl/>
        <w:autoSpaceDE/>
        <w:autoSpaceDN/>
        <w:adjustRightInd/>
        <w:rPr>
          <w:rFonts w:ascii="Verdana" w:hAnsi="Verdana" w:cs="Arial"/>
          <w:b/>
          <w:sz w:val="22"/>
          <w:szCs w:val="22"/>
        </w:rPr>
      </w:pPr>
      <w:r w:rsidRPr="00177D56">
        <w:rPr>
          <w:rFonts w:ascii="Verdana" w:hAnsi="Verdana" w:cs="Arial"/>
          <w:b/>
          <w:sz w:val="22"/>
          <w:szCs w:val="22"/>
        </w:rPr>
        <w:t xml:space="preserve">For </w:t>
      </w:r>
      <w:r w:rsidR="00870143">
        <w:rPr>
          <w:rFonts w:ascii="Verdana" w:hAnsi="Verdana" w:cs="Arial"/>
          <w:b/>
          <w:sz w:val="22"/>
          <w:szCs w:val="22"/>
        </w:rPr>
        <w:t xml:space="preserve">more information about ABACUS </w:t>
      </w:r>
      <w:r w:rsidR="00BB6600">
        <w:rPr>
          <w:rFonts w:ascii="Verdana" w:hAnsi="Verdana" w:cs="Arial"/>
          <w:b/>
          <w:sz w:val="22"/>
          <w:szCs w:val="22"/>
        </w:rPr>
        <w:t xml:space="preserve">and to submit an on-line application, </w:t>
      </w:r>
      <w:r w:rsidR="00870143">
        <w:rPr>
          <w:rFonts w:ascii="Verdana" w:hAnsi="Verdana" w:cs="Arial"/>
          <w:b/>
          <w:sz w:val="22"/>
          <w:szCs w:val="22"/>
        </w:rPr>
        <w:t>please visit:</w:t>
      </w:r>
    </w:p>
    <w:p w:rsidR="00177D56" w:rsidRDefault="00645A5D" w:rsidP="007963F4">
      <w:pPr>
        <w:widowControl/>
        <w:autoSpaceDE/>
        <w:autoSpaceDN/>
        <w:adjustRightInd/>
        <w:rPr>
          <w:rFonts w:ascii="Verdana" w:hAnsi="Verdana" w:cs="Arial"/>
          <w:b/>
          <w:sz w:val="22"/>
          <w:szCs w:val="22"/>
        </w:rPr>
      </w:pPr>
      <w:hyperlink r:id="rId12" w:history="1">
        <w:r w:rsidRPr="00F40CA8">
          <w:rPr>
            <w:rStyle w:val="Hyperlink"/>
            <w:rFonts w:ascii="Verdana" w:hAnsi="Verdana" w:cs="Arial"/>
            <w:b/>
            <w:sz w:val="22"/>
            <w:szCs w:val="22"/>
          </w:rPr>
          <w:t>http://hamiltoncommunityfoun</w:t>
        </w:r>
        <w:r w:rsidRPr="00F40CA8">
          <w:rPr>
            <w:rStyle w:val="Hyperlink"/>
            <w:rFonts w:ascii="Verdana" w:hAnsi="Verdana" w:cs="Arial"/>
            <w:b/>
            <w:sz w:val="22"/>
            <w:szCs w:val="22"/>
          </w:rPr>
          <w:t>d</w:t>
        </w:r>
        <w:r w:rsidRPr="00F40CA8">
          <w:rPr>
            <w:rStyle w:val="Hyperlink"/>
            <w:rFonts w:ascii="Verdana" w:hAnsi="Verdana" w:cs="Arial"/>
            <w:b/>
            <w:sz w:val="22"/>
            <w:szCs w:val="22"/>
          </w:rPr>
          <w:t>ation.ca/grants/grant/abacus-advancing-post-secondary-access/</w:t>
        </w:r>
      </w:hyperlink>
    </w:p>
    <w:p w:rsidR="007963F4" w:rsidRDefault="007963F4" w:rsidP="007963F4">
      <w:pPr>
        <w:widowControl/>
        <w:autoSpaceDE/>
        <w:autoSpaceDN/>
        <w:adjustRightInd/>
        <w:rPr>
          <w:rFonts w:ascii="Verdana" w:hAnsi="Verdana" w:cs="Arial"/>
          <w:b/>
          <w:sz w:val="22"/>
          <w:szCs w:val="22"/>
        </w:rPr>
      </w:pPr>
    </w:p>
    <w:p w:rsidR="003E0250" w:rsidRPr="00177D56" w:rsidRDefault="003E0250" w:rsidP="007963F4">
      <w:pPr>
        <w:framePr w:wrap="auto" w:vAnchor="text" w:hAnchor="margin" w:yAlign="top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b/>
          <w:sz w:val="22"/>
          <w:szCs w:val="22"/>
        </w:rPr>
        <w:t>Contact Information:</w:t>
      </w:r>
    </w:p>
    <w:p w:rsidR="003E5F2D" w:rsidRDefault="003E5F2D" w:rsidP="007963F4">
      <w:pPr>
        <w:framePr w:wrap="auto" w:vAnchor="text" w:hAnchor="margin" w:yAlign="top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Verdana" w:hAnsi="Verdana"/>
          <w:sz w:val="22"/>
          <w:szCs w:val="22"/>
        </w:rPr>
      </w:pPr>
    </w:p>
    <w:p w:rsidR="003E0250" w:rsidRPr="00177D56" w:rsidRDefault="003E5F2D" w:rsidP="007963F4">
      <w:pPr>
        <w:framePr w:wrap="auto" w:vAnchor="text" w:hAnchor="margin" w:yAlign="top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Sharon Charters, Manager of Grants</w:t>
      </w:r>
    </w:p>
    <w:p w:rsidR="003E0250" w:rsidRPr="00177D56" w:rsidRDefault="003E0250" w:rsidP="007963F4">
      <w:pPr>
        <w:framePr w:wrap="auto" w:vAnchor="text" w:hAnchor="margin" w:yAlign="top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>Hamilton Community Foundation, 120 King Street West, Suite 700,</w:t>
      </w:r>
    </w:p>
    <w:p w:rsidR="003E0250" w:rsidRPr="00177D56" w:rsidRDefault="003E0250" w:rsidP="007963F4">
      <w:pPr>
        <w:framePr w:wrap="auto" w:vAnchor="text" w:hAnchor="margin" w:yAlign="top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>Hamilton, Ontario, L8P 4V2</w:t>
      </w:r>
    </w:p>
    <w:p w:rsidR="003E0250" w:rsidRPr="00177D56" w:rsidRDefault="003E0250" w:rsidP="007963F4">
      <w:pPr>
        <w:framePr w:wrap="auto" w:vAnchor="text" w:hAnchor="margin" w:yAlign="top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 xml:space="preserve">Phone: (905) 523-5600 </w:t>
      </w:r>
      <w:r w:rsidR="003E5F2D">
        <w:rPr>
          <w:rFonts w:ascii="Verdana" w:hAnsi="Verdana"/>
          <w:sz w:val="22"/>
          <w:szCs w:val="22"/>
        </w:rPr>
        <w:t>Ext. 242</w:t>
      </w:r>
      <w:r w:rsidRPr="00177D56">
        <w:rPr>
          <w:rFonts w:ascii="Verdana" w:hAnsi="Verdana"/>
          <w:sz w:val="22"/>
          <w:szCs w:val="22"/>
        </w:rPr>
        <w:t xml:space="preserve">    Fax: (905) 523-0741</w:t>
      </w:r>
    </w:p>
    <w:p w:rsidR="003E0250" w:rsidRPr="00177D56" w:rsidRDefault="00B8788E" w:rsidP="007963F4">
      <w:pPr>
        <w:framePr w:wrap="auto" w:vAnchor="text" w:hAnchor="margin" w:yAlign="top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Web</w:t>
      </w:r>
      <w:r w:rsidR="003E0250" w:rsidRPr="00177D56">
        <w:rPr>
          <w:rFonts w:ascii="Verdana" w:hAnsi="Verdana"/>
          <w:sz w:val="22"/>
          <w:szCs w:val="22"/>
        </w:rPr>
        <w:t xml:space="preserve">site:  </w:t>
      </w:r>
      <w:hyperlink r:id="rId13" w:history="1">
        <w:r w:rsidR="00FE07F3" w:rsidRPr="00250F1D">
          <w:rPr>
            <w:rStyle w:val="Hyperlink"/>
            <w:rFonts w:ascii="Verdana" w:hAnsi="Verdana"/>
            <w:sz w:val="22"/>
            <w:szCs w:val="22"/>
          </w:rPr>
          <w:t>www.hamiltoncommunityfoundation.ca</w:t>
        </w:r>
      </w:hyperlink>
      <w:r w:rsidR="00183C7F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="00FE07F3">
        <w:rPr>
          <w:rFonts w:ascii="Verdana" w:hAnsi="Verdana"/>
          <w:sz w:val="22"/>
          <w:szCs w:val="22"/>
          <w:u w:val="single"/>
        </w:rPr>
        <w:t xml:space="preserve"> </w:t>
      </w:r>
    </w:p>
    <w:p w:rsidR="003E0250" w:rsidRPr="00177D56" w:rsidRDefault="003E0250" w:rsidP="007963F4">
      <w:pPr>
        <w:framePr w:wrap="auto" w:vAnchor="text" w:hAnchor="margin" w:yAlign="top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Verdana" w:hAnsi="Verdana"/>
          <w:sz w:val="22"/>
          <w:szCs w:val="22"/>
        </w:rPr>
      </w:pPr>
      <w:r w:rsidRPr="00177D56">
        <w:rPr>
          <w:rFonts w:ascii="Verdana" w:hAnsi="Verdana"/>
          <w:sz w:val="22"/>
          <w:szCs w:val="22"/>
        </w:rPr>
        <w:t xml:space="preserve">E-mail:  </w:t>
      </w:r>
      <w:r w:rsidR="003E5F2D">
        <w:rPr>
          <w:rFonts w:ascii="Verdana" w:hAnsi="Verdana"/>
          <w:sz w:val="22"/>
          <w:szCs w:val="22"/>
        </w:rPr>
        <w:t xml:space="preserve">  </w:t>
      </w:r>
      <w:hyperlink r:id="rId14" w:history="1">
        <w:r w:rsidR="00FE07F3" w:rsidRPr="00250F1D">
          <w:rPr>
            <w:rStyle w:val="Hyperlink"/>
            <w:rFonts w:ascii="Verdana" w:hAnsi="Verdana"/>
            <w:sz w:val="22"/>
            <w:szCs w:val="22"/>
          </w:rPr>
          <w:t>s.charters@hamiltoncommunityfoundation.ca</w:t>
        </w:r>
      </w:hyperlink>
      <w:r w:rsidR="00183C7F">
        <w:rPr>
          <w:rFonts w:ascii="Verdana" w:hAnsi="Verdana"/>
          <w:sz w:val="22"/>
          <w:szCs w:val="22"/>
        </w:rPr>
        <w:t xml:space="preserve"> </w:t>
      </w:r>
      <w:r w:rsidR="00FE07F3">
        <w:rPr>
          <w:rFonts w:ascii="Verdana" w:hAnsi="Verdana"/>
          <w:sz w:val="22"/>
          <w:szCs w:val="22"/>
        </w:rPr>
        <w:t xml:space="preserve"> </w:t>
      </w:r>
    </w:p>
    <w:p w:rsidR="003E0250" w:rsidRPr="00177D56" w:rsidRDefault="003E0250">
      <w:pPr>
        <w:framePr w:wrap="auto" w:vAnchor="text" w:hAnchor="margin" w:yAlign="top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Verdana" w:hAnsi="Verdana"/>
          <w:sz w:val="22"/>
          <w:szCs w:val="22"/>
        </w:rPr>
      </w:pPr>
    </w:p>
    <w:p w:rsidR="003E0250" w:rsidRPr="00177D56" w:rsidRDefault="003E0250" w:rsidP="007963F4">
      <w:pPr>
        <w:widowControl/>
        <w:tabs>
          <w:tab w:val="left" w:pos="-5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"/>
        <w:jc w:val="both"/>
        <w:rPr>
          <w:rFonts w:ascii="Verdana" w:hAnsi="Verdana"/>
          <w:b/>
          <w:sz w:val="22"/>
          <w:szCs w:val="22"/>
        </w:rPr>
      </w:pPr>
    </w:p>
    <w:sectPr w:rsidR="003E0250" w:rsidRPr="00177D56" w:rsidSect="00020A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endnotePr>
        <w:numFmt w:val="decimal"/>
      </w:endnotePr>
      <w:type w:val="continuous"/>
      <w:pgSz w:w="12240" w:h="15840"/>
      <w:pgMar w:top="720" w:right="1008" w:bottom="720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91" w:rsidRDefault="00EE6D91">
      <w:r>
        <w:separator/>
      </w:r>
    </w:p>
  </w:endnote>
  <w:endnote w:type="continuationSeparator" w:id="0">
    <w:p w:rsidR="00EE6D91" w:rsidRDefault="00EE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ultinationalA Roman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BD" w:rsidRDefault="007A3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9" w:rsidRDefault="00D003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998">
      <w:rPr>
        <w:rStyle w:val="PageNumber"/>
        <w:noProof/>
      </w:rPr>
      <w:t>1</w:t>
    </w:r>
    <w:r>
      <w:rPr>
        <w:rStyle w:val="PageNumber"/>
      </w:rPr>
      <w:fldChar w:fldCharType="end"/>
    </w:r>
  </w:p>
  <w:p w:rsidR="00D003C9" w:rsidRDefault="00D003C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BD" w:rsidRDefault="007A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91" w:rsidRDefault="00EE6D91">
      <w:r>
        <w:separator/>
      </w:r>
    </w:p>
  </w:footnote>
  <w:footnote w:type="continuationSeparator" w:id="0">
    <w:p w:rsidR="00EE6D91" w:rsidRDefault="00EE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BD" w:rsidRDefault="007A3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BD" w:rsidRDefault="007A3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BD" w:rsidRDefault="007A3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26D"/>
    <w:multiLevelType w:val="hybridMultilevel"/>
    <w:tmpl w:val="C2C4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9C3"/>
    <w:multiLevelType w:val="hybridMultilevel"/>
    <w:tmpl w:val="9DF0A5B4"/>
    <w:lvl w:ilvl="0" w:tplc="F988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EBD"/>
    <w:multiLevelType w:val="hybridMultilevel"/>
    <w:tmpl w:val="B5BC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10C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4" w15:restartNumberingAfterBreak="0">
    <w:nsid w:val="0DFA66C3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5" w15:restartNumberingAfterBreak="0">
    <w:nsid w:val="0E5F068A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6" w15:restartNumberingAfterBreak="0">
    <w:nsid w:val="13013946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7" w15:restartNumberingAfterBreak="0">
    <w:nsid w:val="1A7F23F5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8" w15:restartNumberingAfterBreak="0">
    <w:nsid w:val="24E9478C"/>
    <w:multiLevelType w:val="hybridMultilevel"/>
    <w:tmpl w:val="50DEB8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46235"/>
    <w:multiLevelType w:val="hybridMultilevel"/>
    <w:tmpl w:val="98DCA03A"/>
    <w:lvl w:ilvl="0" w:tplc="FA3C6E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1871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11" w15:restartNumberingAfterBreak="0">
    <w:nsid w:val="301712CD"/>
    <w:multiLevelType w:val="hybridMultilevel"/>
    <w:tmpl w:val="A6407578"/>
    <w:lvl w:ilvl="0" w:tplc="FA3C6E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640486"/>
    <w:multiLevelType w:val="multilevel"/>
    <w:tmpl w:val="9878BD90"/>
    <w:lvl w:ilvl="0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4CE06CB5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14" w15:restartNumberingAfterBreak="0">
    <w:nsid w:val="59D7557A"/>
    <w:multiLevelType w:val="hybridMultilevel"/>
    <w:tmpl w:val="408A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605B9"/>
    <w:multiLevelType w:val="multilevel"/>
    <w:tmpl w:val="C32AC58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A974F4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17" w15:restartNumberingAfterBreak="0">
    <w:nsid w:val="5F7B4CFB"/>
    <w:multiLevelType w:val="hybridMultilevel"/>
    <w:tmpl w:val="ACF6D018"/>
    <w:lvl w:ilvl="0" w:tplc="F988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2A8E"/>
    <w:multiLevelType w:val="hybridMultilevel"/>
    <w:tmpl w:val="9686105C"/>
    <w:lvl w:ilvl="0" w:tplc="F98878B2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4481C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20" w15:restartNumberingAfterBreak="0">
    <w:nsid w:val="652331D9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21" w15:restartNumberingAfterBreak="0">
    <w:nsid w:val="748A33A0"/>
    <w:multiLevelType w:val="hybridMultilevel"/>
    <w:tmpl w:val="4C967B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D6BD9"/>
    <w:multiLevelType w:val="hybridMultilevel"/>
    <w:tmpl w:val="8AA0A6C2"/>
    <w:lvl w:ilvl="0" w:tplc="FA3C6E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9504D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24" w15:restartNumberingAfterBreak="0">
    <w:nsid w:val="78DE30C6"/>
    <w:multiLevelType w:val="multilevel"/>
    <w:tmpl w:val="F828B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"/>
      <w:legacy w:legacy="1" w:legacySpace="0" w:legacyIndent="733"/>
      <w:lvlJc w:val="left"/>
      <w:pPr>
        <w:ind w:left="1466" w:hanging="733"/>
      </w:pPr>
      <w:rPr>
        <w:rFonts w:ascii="WP MultinationalA Roman" w:hAnsi="WP MultinationalA Roman" w:hint="default"/>
      </w:rPr>
    </w:lvl>
    <w:lvl w:ilvl="2">
      <w:start w:val="1"/>
      <w:numFmt w:val="none"/>
      <w:lvlText w:val=""/>
      <w:legacy w:legacy="1" w:legacySpace="0" w:legacyIndent="733"/>
      <w:lvlJc w:val="left"/>
      <w:pPr>
        <w:ind w:left="2199" w:hanging="733"/>
      </w:pPr>
      <w:rPr>
        <w:rFonts w:ascii="WP MultinationalA Roman" w:hAnsi="WP MultinationalA Roman" w:hint="default"/>
      </w:rPr>
    </w:lvl>
    <w:lvl w:ilvl="3">
      <w:start w:val="1"/>
      <w:numFmt w:val="none"/>
      <w:lvlText w:val=""/>
      <w:legacy w:legacy="1" w:legacySpace="0" w:legacyIndent="733"/>
      <w:lvlJc w:val="left"/>
      <w:pPr>
        <w:ind w:left="2932" w:hanging="733"/>
      </w:pPr>
      <w:rPr>
        <w:rFonts w:ascii="WP MultinationalA Roman" w:hAnsi="WP MultinationalA Roman" w:hint="default"/>
      </w:rPr>
    </w:lvl>
    <w:lvl w:ilvl="4">
      <w:start w:val="1"/>
      <w:numFmt w:val="none"/>
      <w:lvlText w:val=""/>
      <w:legacy w:legacy="1" w:legacySpace="0" w:legacyIndent="733"/>
      <w:lvlJc w:val="left"/>
      <w:pPr>
        <w:ind w:left="3665" w:hanging="733"/>
      </w:pPr>
      <w:rPr>
        <w:rFonts w:ascii="WP MultinationalA Roman" w:hAnsi="WP MultinationalA Roman" w:hint="default"/>
      </w:rPr>
    </w:lvl>
    <w:lvl w:ilvl="5">
      <w:start w:val="1"/>
      <w:numFmt w:val="none"/>
      <w:lvlText w:val=""/>
      <w:legacy w:legacy="1" w:legacySpace="0" w:legacyIndent="733"/>
      <w:lvlJc w:val="left"/>
      <w:pPr>
        <w:ind w:left="4398" w:hanging="733"/>
      </w:pPr>
      <w:rPr>
        <w:rFonts w:ascii="WP MultinationalA Roman" w:hAnsi="WP MultinationalA Roman" w:hint="default"/>
      </w:rPr>
    </w:lvl>
    <w:lvl w:ilvl="6">
      <w:start w:val="1"/>
      <w:numFmt w:val="none"/>
      <w:lvlText w:val=""/>
      <w:legacy w:legacy="1" w:legacySpace="0" w:legacyIndent="733"/>
      <w:lvlJc w:val="left"/>
      <w:pPr>
        <w:ind w:left="5131" w:hanging="733"/>
      </w:pPr>
      <w:rPr>
        <w:rFonts w:ascii="WP MultinationalA Roman" w:hAnsi="WP MultinationalA Roman" w:hint="default"/>
      </w:rPr>
    </w:lvl>
    <w:lvl w:ilvl="7">
      <w:start w:val="1"/>
      <w:numFmt w:val="none"/>
      <w:lvlText w:val=""/>
      <w:legacy w:legacy="1" w:legacySpace="0" w:legacyIndent="733"/>
      <w:lvlJc w:val="left"/>
      <w:pPr>
        <w:ind w:left="5864" w:hanging="733"/>
      </w:pPr>
      <w:rPr>
        <w:rFonts w:ascii="WP MultinationalA Roman" w:hAnsi="WP MultinationalA Roman" w:hint="default"/>
      </w:rPr>
    </w:lvl>
    <w:lvl w:ilvl="8">
      <w:start w:val="1"/>
      <w:numFmt w:val="lowerRoman"/>
      <w:lvlText w:val="%9"/>
      <w:legacy w:legacy="1" w:legacySpace="0" w:legacyIndent="733"/>
      <w:lvlJc w:val="left"/>
      <w:pPr>
        <w:ind w:left="6597" w:hanging="733"/>
      </w:pPr>
    </w:lvl>
  </w:abstractNum>
  <w:abstractNum w:abstractNumId="25" w15:restartNumberingAfterBreak="0">
    <w:nsid w:val="7ED223F6"/>
    <w:multiLevelType w:val="hybridMultilevel"/>
    <w:tmpl w:val="0F1AA6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4"/>
  </w:num>
  <w:num w:numId="5">
    <w:abstractNumId w:val="20"/>
  </w:num>
  <w:num w:numId="6">
    <w:abstractNumId w:val="6"/>
  </w:num>
  <w:num w:numId="7">
    <w:abstractNumId w:val="23"/>
  </w:num>
  <w:num w:numId="8">
    <w:abstractNumId w:val="19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15"/>
  </w:num>
  <w:num w:numId="14">
    <w:abstractNumId w:val="12"/>
  </w:num>
  <w:num w:numId="15">
    <w:abstractNumId w:val="2"/>
  </w:num>
  <w:num w:numId="16">
    <w:abstractNumId w:val="0"/>
  </w:num>
  <w:num w:numId="17">
    <w:abstractNumId w:val="14"/>
  </w:num>
  <w:num w:numId="18">
    <w:abstractNumId w:val="25"/>
  </w:num>
  <w:num w:numId="19">
    <w:abstractNumId w:val="21"/>
  </w:num>
  <w:num w:numId="20">
    <w:abstractNumId w:val="8"/>
  </w:num>
  <w:num w:numId="21">
    <w:abstractNumId w:val="11"/>
  </w:num>
  <w:num w:numId="22">
    <w:abstractNumId w:val="9"/>
  </w:num>
  <w:num w:numId="23">
    <w:abstractNumId w:val="22"/>
  </w:num>
  <w:num w:numId="24">
    <w:abstractNumId w:val="1"/>
  </w:num>
  <w:num w:numId="25">
    <w:abstractNumId w:val="17"/>
  </w:num>
  <w:num w:numId="2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720"/>
  <w:hyphenationZone w:val="33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D5"/>
    <w:rsid w:val="00020ACE"/>
    <w:rsid w:val="00034E73"/>
    <w:rsid w:val="00056798"/>
    <w:rsid w:val="000A2704"/>
    <w:rsid w:val="000B0908"/>
    <w:rsid w:val="000E37A8"/>
    <w:rsid w:val="001107F1"/>
    <w:rsid w:val="00114557"/>
    <w:rsid w:val="00121B63"/>
    <w:rsid w:val="00123560"/>
    <w:rsid w:val="00123FE2"/>
    <w:rsid w:val="00134FF2"/>
    <w:rsid w:val="00177D56"/>
    <w:rsid w:val="00183C7F"/>
    <w:rsid w:val="001B2FE8"/>
    <w:rsid w:val="001E00D6"/>
    <w:rsid w:val="00200092"/>
    <w:rsid w:val="00217F19"/>
    <w:rsid w:val="002207D2"/>
    <w:rsid w:val="002650F4"/>
    <w:rsid w:val="0027705F"/>
    <w:rsid w:val="00282564"/>
    <w:rsid w:val="002A2907"/>
    <w:rsid w:val="002C2282"/>
    <w:rsid w:val="002C3DC0"/>
    <w:rsid w:val="002D1D8A"/>
    <w:rsid w:val="002D7263"/>
    <w:rsid w:val="002E4621"/>
    <w:rsid w:val="002E5B8F"/>
    <w:rsid w:val="002F6096"/>
    <w:rsid w:val="0031370E"/>
    <w:rsid w:val="00326935"/>
    <w:rsid w:val="00366D4E"/>
    <w:rsid w:val="003A35FA"/>
    <w:rsid w:val="003E0250"/>
    <w:rsid w:val="003E5F2D"/>
    <w:rsid w:val="003E6998"/>
    <w:rsid w:val="003F6012"/>
    <w:rsid w:val="00400F2C"/>
    <w:rsid w:val="00405CF9"/>
    <w:rsid w:val="00413E59"/>
    <w:rsid w:val="004624D5"/>
    <w:rsid w:val="00466D4E"/>
    <w:rsid w:val="004773D6"/>
    <w:rsid w:val="00490399"/>
    <w:rsid w:val="004A00BC"/>
    <w:rsid w:val="004C4FC6"/>
    <w:rsid w:val="00524E5E"/>
    <w:rsid w:val="005367B7"/>
    <w:rsid w:val="00582589"/>
    <w:rsid w:val="005E68FE"/>
    <w:rsid w:val="005E7592"/>
    <w:rsid w:val="005F376E"/>
    <w:rsid w:val="0061445F"/>
    <w:rsid w:val="00630F50"/>
    <w:rsid w:val="00645A5D"/>
    <w:rsid w:val="00663A87"/>
    <w:rsid w:val="00665070"/>
    <w:rsid w:val="006A37B8"/>
    <w:rsid w:val="006D071A"/>
    <w:rsid w:val="00700A21"/>
    <w:rsid w:val="007070C3"/>
    <w:rsid w:val="00714F88"/>
    <w:rsid w:val="00724521"/>
    <w:rsid w:val="00734CC0"/>
    <w:rsid w:val="0075770D"/>
    <w:rsid w:val="00780B4B"/>
    <w:rsid w:val="0079549A"/>
    <w:rsid w:val="007963F4"/>
    <w:rsid w:val="007A31BD"/>
    <w:rsid w:val="007B3C8B"/>
    <w:rsid w:val="007C3E2B"/>
    <w:rsid w:val="007C790E"/>
    <w:rsid w:val="00830771"/>
    <w:rsid w:val="00870143"/>
    <w:rsid w:val="008D59DD"/>
    <w:rsid w:val="0090034F"/>
    <w:rsid w:val="00940B57"/>
    <w:rsid w:val="00950158"/>
    <w:rsid w:val="00974726"/>
    <w:rsid w:val="009B26A1"/>
    <w:rsid w:val="009D4FC7"/>
    <w:rsid w:val="009E5009"/>
    <w:rsid w:val="00A03640"/>
    <w:rsid w:val="00A07205"/>
    <w:rsid w:val="00A17CCB"/>
    <w:rsid w:val="00A45F98"/>
    <w:rsid w:val="00A5599A"/>
    <w:rsid w:val="00A71B8F"/>
    <w:rsid w:val="00A82AC0"/>
    <w:rsid w:val="00AC4FDC"/>
    <w:rsid w:val="00AC54D6"/>
    <w:rsid w:val="00AC5836"/>
    <w:rsid w:val="00AE0121"/>
    <w:rsid w:val="00AF5DBA"/>
    <w:rsid w:val="00B447E1"/>
    <w:rsid w:val="00B81287"/>
    <w:rsid w:val="00B8788E"/>
    <w:rsid w:val="00BB6600"/>
    <w:rsid w:val="00BC5075"/>
    <w:rsid w:val="00BD253C"/>
    <w:rsid w:val="00BF7F97"/>
    <w:rsid w:val="00C17E30"/>
    <w:rsid w:val="00C64291"/>
    <w:rsid w:val="00CE55C1"/>
    <w:rsid w:val="00D003C9"/>
    <w:rsid w:val="00D12099"/>
    <w:rsid w:val="00D152E4"/>
    <w:rsid w:val="00D171BD"/>
    <w:rsid w:val="00D55449"/>
    <w:rsid w:val="00DC0FC9"/>
    <w:rsid w:val="00DC7FDB"/>
    <w:rsid w:val="00E36265"/>
    <w:rsid w:val="00E50DFA"/>
    <w:rsid w:val="00E521D5"/>
    <w:rsid w:val="00EB17D5"/>
    <w:rsid w:val="00ED45FE"/>
    <w:rsid w:val="00EE6D91"/>
    <w:rsid w:val="00EF0CD5"/>
    <w:rsid w:val="00EF7F26"/>
    <w:rsid w:val="00F14473"/>
    <w:rsid w:val="00F14A1F"/>
    <w:rsid w:val="00F14D23"/>
    <w:rsid w:val="00FA1200"/>
    <w:rsid w:val="00FC3859"/>
    <w:rsid w:val="00FD6959"/>
    <w:rsid w:val="00FE07F3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9B4832F-8683-48AB-9B5A-D31A7749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keepLines/>
      <w:widowControl/>
      <w:ind w:hanging="6"/>
      <w:jc w:val="center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keepLines/>
      <w:widowControl/>
      <w:ind w:hanging="6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ind w:hanging="6"/>
      <w:jc w:val="center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right" w:pos="7740"/>
      </w:tabs>
      <w:ind w:firstLine="9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left" w:pos="-36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right" w:pos="7380"/>
      </w:tabs>
      <w:ind w:firstLine="9"/>
      <w:jc w:val="both"/>
      <w:outlineLvl w:val="8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eastAsia="Times New Roman" w:hAnsi="Times New Roman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eastAsia="Times New Roman" w:hAnsi="Times New Roman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eastAsia="Times New Roman" w:hAnsi="Times New Roman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eastAsia="Times New Roman" w:hAnsi="Times New Roman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eastAsia="Times New Roman" w:hAnsi="Times New Roman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eastAsia="Times New Roman" w:hAnsi="Times New Roman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eastAsia="Times New Roman" w:hAnsi="Times New Roman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eastAsia="Times New Roman" w:hAnsi="Times New Roman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eastAsia="Times New Roman" w:hAnsi="Times New Roman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eastAsia="Times New Roman" w:hAnsi="Times New Roman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eastAsia="Times New Roman" w:hAnsi="Times New Roman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eastAsia="Times New Roman" w:hAnsi="Times New Roman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eastAsia="Times New Roman" w:hAnsi="Times New Roman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eastAsia="Times New Roman" w:hAnsi="Times New Roman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eastAsia="Times New Roman" w:hAnsi="Times New Roman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eastAsia="Times New Roman" w:hAnsi="Times New Roman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eastAsia="Times New Roman" w:hAnsi="Times New Roman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eastAsia="Times New Roman" w:hAnsi="Times New Roman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eastAsia="Times New Roman" w:hAnsi="Times New Roman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eastAsia="Times New Roman" w:hAnsi="Times New Roman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eastAsia="Times New Roman" w:hAnsi="Times New Roman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eastAsia="Times New Roman" w:hAnsi="Times New Roman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eastAsia="Times New Roman" w:hAnsi="Times New Roman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eastAsia="Times New Roman" w:hAnsi="Times New Roman"/>
    </w:rPr>
  </w:style>
  <w:style w:type="paragraph" w:customStyle="1" w:styleId="14">
    <w:name w:val="1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/>
    </w:rPr>
  </w:style>
  <w:style w:type="paragraph" w:customStyle="1" w:styleId="24">
    <w:name w:val="2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</w:rPr>
  </w:style>
  <w:style w:type="paragraph" w:customStyle="1" w:styleId="34">
    <w:name w:val="3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/>
    </w:rPr>
  </w:style>
  <w:style w:type="paragraph" w:customStyle="1" w:styleId="44">
    <w:name w:val="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/>
      <w:jc w:val="both"/>
    </w:pPr>
    <w:rPr>
      <w:rFonts w:ascii="Times New Roman" w:eastAsia="Times New Roman" w:hAnsi="Times New Roman"/>
    </w:rPr>
  </w:style>
  <w:style w:type="paragraph" w:customStyle="1" w:styleId="54">
    <w:name w:val="5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/>
      <w:jc w:val="both"/>
    </w:pPr>
    <w:rPr>
      <w:rFonts w:ascii="Times New Roman" w:eastAsia="Times New Roman" w:hAnsi="Times New Roman"/>
    </w:rPr>
  </w:style>
  <w:style w:type="paragraph" w:customStyle="1" w:styleId="64">
    <w:name w:val="6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/>
      <w:jc w:val="both"/>
    </w:pPr>
    <w:rPr>
      <w:rFonts w:ascii="Times New Roman" w:eastAsia="Times New Roman" w:hAnsi="Times New Roman"/>
    </w:rPr>
  </w:style>
  <w:style w:type="paragraph" w:customStyle="1" w:styleId="74">
    <w:name w:val="7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/>
      <w:jc w:val="both"/>
    </w:pPr>
    <w:rPr>
      <w:rFonts w:ascii="Times New Roman" w:eastAsia="Times New Roman" w:hAnsi="Times New Roman"/>
    </w:rPr>
  </w:style>
  <w:style w:type="paragraph" w:customStyle="1" w:styleId="84">
    <w:name w:val="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/>
      <w:jc w:val="both"/>
    </w:pPr>
    <w:rPr>
      <w:rFonts w:ascii="Times New Roman" w:eastAsia="Times New Roman" w:hAnsi="Times New Roman"/>
    </w:rPr>
  </w:style>
  <w:style w:type="paragraph" w:customStyle="1" w:styleId="13">
    <w:name w:val="13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/>
    </w:rPr>
  </w:style>
  <w:style w:type="paragraph" w:customStyle="1" w:styleId="23">
    <w:name w:val="2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</w:rPr>
  </w:style>
  <w:style w:type="paragraph" w:customStyle="1" w:styleId="33">
    <w:name w:val="33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/>
    </w:rPr>
  </w:style>
  <w:style w:type="paragraph" w:customStyle="1" w:styleId="43">
    <w:name w:val="4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/>
      <w:jc w:val="both"/>
    </w:pPr>
    <w:rPr>
      <w:rFonts w:ascii="Times New Roman" w:eastAsia="Times New Roman" w:hAnsi="Times New Roman"/>
    </w:rPr>
  </w:style>
  <w:style w:type="paragraph" w:customStyle="1" w:styleId="53">
    <w:name w:val="53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/>
      <w:jc w:val="both"/>
    </w:pPr>
    <w:rPr>
      <w:rFonts w:ascii="Times New Roman" w:eastAsia="Times New Roman" w:hAnsi="Times New Roman"/>
    </w:rPr>
  </w:style>
  <w:style w:type="paragraph" w:customStyle="1" w:styleId="63">
    <w:name w:val="6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/>
      <w:jc w:val="both"/>
    </w:pPr>
    <w:rPr>
      <w:rFonts w:ascii="Times New Roman" w:eastAsia="Times New Roman" w:hAnsi="Times New Roman"/>
    </w:rPr>
  </w:style>
  <w:style w:type="paragraph" w:customStyle="1" w:styleId="73">
    <w:name w:val="73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/>
      <w:jc w:val="both"/>
    </w:pPr>
    <w:rPr>
      <w:rFonts w:ascii="Times New Roman" w:eastAsia="Times New Roman" w:hAnsi="Times New Roman"/>
    </w:rPr>
  </w:style>
  <w:style w:type="paragraph" w:customStyle="1" w:styleId="83">
    <w:name w:val="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/>
      <w:jc w:val="both"/>
    </w:pPr>
    <w:rPr>
      <w:rFonts w:ascii="Times New Roman" w:eastAsia="Times New Roman" w:hAnsi="Times New Roman"/>
    </w:rPr>
  </w:style>
  <w:style w:type="paragraph" w:customStyle="1" w:styleId="12">
    <w:name w:val="12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/>
    </w:rPr>
  </w:style>
  <w:style w:type="paragraph" w:customStyle="1" w:styleId="22">
    <w:name w:val="2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</w:rPr>
  </w:style>
  <w:style w:type="paragraph" w:customStyle="1" w:styleId="32">
    <w:name w:val="32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/>
    </w:rPr>
  </w:style>
  <w:style w:type="paragraph" w:customStyle="1" w:styleId="42">
    <w:name w:val="4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/>
      <w:jc w:val="both"/>
    </w:pPr>
    <w:rPr>
      <w:rFonts w:ascii="Times New Roman" w:eastAsia="Times New Roman" w:hAnsi="Times New Roman"/>
    </w:rPr>
  </w:style>
  <w:style w:type="paragraph" w:customStyle="1" w:styleId="52">
    <w:name w:val="52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/>
      <w:jc w:val="both"/>
    </w:pPr>
    <w:rPr>
      <w:rFonts w:ascii="Times New Roman" w:eastAsia="Times New Roman" w:hAnsi="Times New Roman"/>
    </w:rPr>
  </w:style>
  <w:style w:type="paragraph" w:customStyle="1" w:styleId="62">
    <w:name w:val="6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/>
      <w:jc w:val="both"/>
    </w:pPr>
    <w:rPr>
      <w:rFonts w:ascii="Times New Roman" w:eastAsia="Times New Roman" w:hAnsi="Times New Roman"/>
    </w:rPr>
  </w:style>
  <w:style w:type="paragraph" w:customStyle="1" w:styleId="72">
    <w:name w:val="72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/>
      <w:jc w:val="both"/>
    </w:pPr>
    <w:rPr>
      <w:rFonts w:ascii="Times New Roman" w:eastAsia="Times New Roman" w:hAnsi="Times New Roman"/>
    </w:rPr>
  </w:style>
  <w:style w:type="paragraph" w:customStyle="1" w:styleId="82">
    <w:name w:val="8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/>
      <w:jc w:val="both"/>
    </w:pPr>
    <w:rPr>
      <w:rFonts w:ascii="Times New Roman" w:eastAsia="Times New Roman" w:hAnsi="Times New Roman"/>
    </w:rPr>
  </w:style>
  <w:style w:type="paragraph" w:customStyle="1" w:styleId="1LargeBullet">
    <w:name w:val="1Large Bulle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</w:rPr>
  </w:style>
  <w:style w:type="paragraph" w:customStyle="1" w:styleId="2LargeBullet">
    <w:name w:val="2Large Bullet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eastAsia="Times New Roman" w:hAnsi="Times New Roman"/>
    </w:rPr>
  </w:style>
  <w:style w:type="paragraph" w:customStyle="1" w:styleId="3LargeBullet">
    <w:name w:val="3Large Bullet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eastAsia="Times New Roman" w:hAnsi="Times New Roman"/>
    </w:rPr>
  </w:style>
  <w:style w:type="paragraph" w:customStyle="1" w:styleId="4LargeBullet">
    <w:name w:val="4Large Bullet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eastAsia="Times New Roman" w:hAnsi="Times New Roman"/>
    </w:rPr>
  </w:style>
  <w:style w:type="paragraph" w:customStyle="1" w:styleId="5LargeBullet">
    <w:name w:val="5Large Bulle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eastAsia="Times New Roman" w:hAnsi="Times New Roman"/>
    </w:rPr>
  </w:style>
  <w:style w:type="paragraph" w:customStyle="1" w:styleId="6LargeBullet">
    <w:name w:val="6Large Bulle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eastAsia="Times New Roman" w:hAnsi="Times New Roman"/>
    </w:rPr>
  </w:style>
  <w:style w:type="paragraph" w:customStyle="1" w:styleId="7LargeBullet">
    <w:name w:val="7Large Bulle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eastAsia="Times New Roman" w:hAnsi="Times New Roman"/>
    </w:rPr>
  </w:style>
  <w:style w:type="paragraph" w:customStyle="1" w:styleId="8LargeBullet">
    <w:name w:val="8Large Bulle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eastAsia="Times New Roman" w:hAnsi="Times New Roman"/>
    </w:rPr>
  </w:style>
  <w:style w:type="paragraph" w:customStyle="1" w:styleId="11">
    <w:name w:val="11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/>
    </w:rPr>
  </w:style>
  <w:style w:type="paragraph" w:customStyle="1" w:styleId="21">
    <w:name w:val="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</w:rPr>
  </w:style>
  <w:style w:type="paragraph" w:customStyle="1" w:styleId="31">
    <w:name w:val="31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/>
    </w:rPr>
  </w:style>
  <w:style w:type="paragraph" w:customStyle="1" w:styleId="41">
    <w:name w:val="4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/>
      <w:jc w:val="both"/>
    </w:pPr>
    <w:rPr>
      <w:rFonts w:ascii="Times New Roman" w:eastAsia="Times New Roman" w:hAnsi="Times New Roman"/>
    </w:rPr>
  </w:style>
  <w:style w:type="paragraph" w:customStyle="1" w:styleId="51">
    <w:name w:val="51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/>
      <w:jc w:val="both"/>
    </w:pPr>
    <w:rPr>
      <w:rFonts w:ascii="Times New Roman" w:eastAsia="Times New Roman" w:hAnsi="Times New Roman"/>
    </w:rPr>
  </w:style>
  <w:style w:type="paragraph" w:customStyle="1" w:styleId="61">
    <w:name w:val="6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/>
      <w:jc w:val="both"/>
    </w:pPr>
    <w:rPr>
      <w:rFonts w:ascii="Times New Roman" w:eastAsia="Times New Roman" w:hAnsi="Times New Roman"/>
    </w:rPr>
  </w:style>
  <w:style w:type="paragraph" w:customStyle="1" w:styleId="71">
    <w:name w:val="71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/>
      <w:jc w:val="both"/>
    </w:pPr>
    <w:rPr>
      <w:rFonts w:ascii="Times New Roman" w:eastAsia="Times New Roman" w:hAnsi="Times New Roman"/>
    </w:rPr>
  </w:style>
  <w:style w:type="paragraph" w:customStyle="1" w:styleId="81">
    <w:name w:val="8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/>
      <w:jc w:val="both"/>
    </w:pPr>
    <w:rPr>
      <w:rFonts w:ascii="Times New Roman" w:eastAsia="Times New Roman" w:hAnsi="Times New Roman"/>
    </w:rPr>
  </w:style>
  <w:style w:type="paragraph" w:styleId="BodyText">
    <w:name w:val="Body Text"/>
    <w:basedOn w:val="Normal"/>
    <w:semiHidden/>
    <w:rPr>
      <w:rFonts w:ascii="Arial" w:hAnsi="Arial"/>
    </w:rPr>
  </w:style>
  <w:style w:type="paragraph" w:styleId="List2">
    <w:name w:val="Lis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720"/>
    </w:pPr>
    <w:rPr>
      <w:lang w:val="en-GB"/>
    </w:rPr>
  </w:style>
  <w:style w:type="paragraph" w:customStyle="1" w:styleId="BodyTextIn">
    <w:name w:val="Body Text In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semiHidden/>
    <w:pPr>
      <w:spacing w:after="603"/>
    </w:pPr>
    <w:rPr>
      <w:rFonts w:ascii="Arial Unicode MS" w:eastAsia="Arial Unicode MS"/>
    </w:rPr>
  </w:style>
  <w:style w:type="character" w:styleId="Hyperlink">
    <w:name w:val="Hyperlink"/>
    <w:semiHidden/>
    <w:rPr>
      <w:color w:val="0000FF"/>
    </w:rPr>
  </w:style>
  <w:style w:type="paragraph" w:styleId="DocumentMap">
    <w:name w:val="Document Map"/>
    <w:basedOn w:val="Normal"/>
    <w:semiHidden/>
    <w:pPr>
      <w:shd w:val="solid" w:color="auto" w:fill="FFFFFF"/>
    </w:pPr>
    <w:rPr>
      <w:rFonts w:ascii="Tahoma" w:hAnsi="Tahoma"/>
      <w:color w:val="FFFFFF"/>
    </w:rPr>
  </w:style>
  <w:style w:type="character" w:customStyle="1" w:styleId="DefaultPara">
    <w:name w:val="Default Para"/>
  </w:style>
  <w:style w:type="paragraph" w:customStyle="1" w:styleId="levnl9">
    <w:name w:val="_levnl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ind w:left="3240"/>
    </w:pPr>
    <w:rPr>
      <w:rFonts w:ascii="Times New Roman" w:eastAsia="Times New Roman" w:hAnsi="Times New Roman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/>
    </w:pPr>
    <w:rPr>
      <w:rFonts w:ascii="Times New Roman" w:eastAsia="Times New Roman" w:hAnsi="Times New Roman"/>
    </w:rPr>
  </w:style>
  <w:style w:type="paragraph" w:customStyle="1" w:styleId="levnl7">
    <w:name w:val="_levnl7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/>
    </w:pPr>
    <w:rPr>
      <w:rFonts w:ascii="Times New Roman" w:eastAsia="Times New Roman" w:hAnsi="Times New Roman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/>
    </w:pPr>
    <w:rPr>
      <w:rFonts w:ascii="Times New Roman" w:eastAsia="Times New Roman" w:hAnsi="Times New Roman"/>
    </w:rPr>
  </w:style>
  <w:style w:type="paragraph" w:customStyle="1" w:styleId="levnl5">
    <w:name w:val="_levnl5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/>
    </w:pPr>
    <w:rPr>
      <w:rFonts w:ascii="Times New Roman" w:eastAsia="Times New Roman" w:hAnsi="Times New Roman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/>
    </w:pPr>
    <w:rPr>
      <w:rFonts w:ascii="Times New Roman" w:eastAsia="Times New Roman" w:hAnsi="Times New Roman"/>
    </w:rPr>
  </w:style>
  <w:style w:type="paragraph" w:customStyle="1" w:styleId="levnl3">
    <w:name w:val="_levnl3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/>
    </w:pPr>
    <w:rPr>
      <w:rFonts w:ascii="Times New Roman" w:eastAsia="Times New Roman" w:hAnsi="Times New Roman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/>
    </w:pPr>
    <w:rPr>
      <w:rFonts w:ascii="Times New Roman" w:eastAsia="Times New Roman" w:hAnsi="Times New Roman"/>
    </w:rPr>
  </w:style>
  <w:style w:type="paragraph" w:customStyle="1" w:styleId="levnl1">
    <w:name w:val="_levnl1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/>
    </w:pPr>
    <w:rPr>
      <w:rFonts w:ascii="Times New Roman" w:eastAsia="Times New Roman" w:hAnsi="Times New Roman"/>
    </w:rPr>
  </w:style>
  <w:style w:type="paragraph" w:customStyle="1" w:styleId="levsl9">
    <w:name w:val="_levsl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ind w:left="3240"/>
    </w:pPr>
    <w:rPr>
      <w:rFonts w:ascii="Times New Roman" w:eastAsia="Times New Roman" w:hAnsi="Times New Roman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/>
    </w:pPr>
    <w:rPr>
      <w:rFonts w:ascii="Times New Roman" w:eastAsia="Times New Roman" w:hAnsi="Times New Roman"/>
    </w:rPr>
  </w:style>
  <w:style w:type="paragraph" w:customStyle="1" w:styleId="levsl7">
    <w:name w:val="_levsl7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ind w:left="2520"/>
    </w:pPr>
    <w:rPr>
      <w:rFonts w:ascii="Times New Roman" w:eastAsia="Times New Roman" w:hAnsi="Times New Roman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ind w:left="2160"/>
    </w:pPr>
    <w:rPr>
      <w:rFonts w:ascii="Times New Roman" w:eastAsia="Times New Roman" w:hAnsi="Times New Roman"/>
    </w:rPr>
  </w:style>
  <w:style w:type="paragraph" w:customStyle="1" w:styleId="levsl5">
    <w:name w:val="_levsl5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ind w:left="1800"/>
    </w:pPr>
    <w:rPr>
      <w:rFonts w:ascii="Times New Roman" w:eastAsia="Times New Roman" w:hAnsi="Times New Roman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ind w:left="1440"/>
    </w:pPr>
    <w:rPr>
      <w:rFonts w:ascii="Times New Roman" w:eastAsia="Times New Roman" w:hAnsi="Times New Roman"/>
    </w:rPr>
  </w:style>
  <w:style w:type="paragraph" w:customStyle="1" w:styleId="levsl3">
    <w:name w:val="_levsl3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/>
    </w:pPr>
    <w:rPr>
      <w:rFonts w:ascii="Times New Roman" w:eastAsia="Times New Roman" w:hAnsi="Times New Roman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/>
    </w:pPr>
    <w:rPr>
      <w:rFonts w:ascii="Times New Roman" w:eastAsia="Times New Roman" w:hAnsi="Times New Roman"/>
    </w:rPr>
  </w:style>
  <w:style w:type="paragraph" w:customStyle="1" w:styleId="levsl1">
    <w:name w:val="_levsl1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/>
    </w:pPr>
    <w:rPr>
      <w:rFonts w:ascii="Times New Roman" w:eastAsia="Times New Roman" w:hAnsi="Times New Roman"/>
    </w:rPr>
  </w:style>
  <w:style w:type="paragraph" w:customStyle="1" w:styleId="level9">
    <w:name w:val="_level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ind w:left="3240"/>
    </w:pPr>
    <w:rPr>
      <w:rFonts w:ascii="Times New Roman" w:eastAsia="Times New Roman" w:hAnsi="Times New Roman"/>
    </w:rPr>
  </w:style>
  <w:style w:type="character" w:customStyle="1" w:styleId="SYSHYPERTEXT">
    <w:name w:val="SYS_HYPERTEXT"/>
    <w:rPr>
      <w:color w:val="0000FF"/>
    </w:rPr>
  </w:style>
  <w:style w:type="paragraph" w:styleId="BodyTextIndent">
    <w:name w:val="Body Text Indent"/>
    <w:basedOn w:val="Normal"/>
    <w:semiHidden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widowControl/>
      <w:ind w:left="720"/>
      <w:jc w:val="both"/>
    </w:pPr>
    <w:rPr>
      <w:rFonts w:ascii="Arial" w:hAnsi="Arial"/>
      <w:b/>
      <w:i/>
      <w:sz w:val="22"/>
    </w:rPr>
  </w:style>
  <w:style w:type="paragraph" w:styleId="BodyTextIndent3">
    <w:name w:val="Body Text Indent 3"/>
    <w:basedOn w:val="Normal"/>
    <w:semiHidden/>
    <w:pPr>
      <w:widowControl/>
      <w:ind w:hanging="6"/>
      <w:jc w:val="both"/>
    </w:pPr>
    <w:rPr>
      <w:rFonts w:ascii="Arial" w:hAnsi="Arial"/>
      <w:b/>
      <w:i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/>
      <w:sz w:val="32"/>
    </w:rPr>
  </w:style>
  <w:style w:type="paragraph" w:styleId="BodyText3">
    <w:name w:val="Body Text 3"/>
    <w:basedOn w:val="Normal"/>
    <w:semiHidden/>
    <w:pPr>
      <w:ind w:right="-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24D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070C3"/>
  </w:style>
  <w:style w:type="paragraph" w:styleId="ListParagraph">
    <w:name w:val="List Paragraph"/>
    <w:basedOn w:val="Normal"/>
    <w:uiPriority w:val="34"/>
    <w:qFormat/>
    <w:rsid w:val="00413E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E5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009"/>
  </w:style>
  <w:style w:type="character" w:customStyle="1" w:styleId="CommentTextChar">
    <w:name w:val="Comment Text Char"/>
    <w:link w:val="CommentText"/>
    <w:uiPriority w:val="99"/>
    <w:semiHidden/>
    <w:rsid w:val="009E500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00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3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31BD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miltoncommunityfoundation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amiltoncommunityfoundation.ca/grants/grant/abacus-advancing-post-secondary-acces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iltoncommunityfoundation.ca/?s=sponsorsh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amiltoncommunityfoundation.ca/wp-content/uploads/2019/01/Description-of-4-Pillars-for-Grantees-Rev-Jan-9-2019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.charters@hamiltoncommunityfoundation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38AE-BE79-46BF-8DC1-F43B2B91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</vt:lpstr>
    </vt:vector>
  </TitlesOfParts>
  <Company>Johnson Associates</Company>
  <LinksUpToDate>false</LinksUpToDate>
  <CharactersWithSpaces>7382</CharactersWithSpaces>
  <SharedDoc>false</SharedDoc>
  <HLinks>
    <vt:vector size="30" baseType="variant">
      <vt:variant>
        <vt:i4>8126465</vt:i4>
      </vt:variant>
      <vt:variant>
        <vt:i4>12</vt:i4>
      </vt:variant>
      <vt:variant>
        <vt:i4>0</vt:i4>
      </vt:variant>
      <vt:variant>
        <vt:i4>5</vt:i4>
      </vt:variant>
      <vt:variant>
        <vt:lpwstr>mailto:s.charters@hamiltoncommunityfoundation.ca</vt:lpwstr>
      </vt:variant>
      <vt:variant>
        <vt:lpwstr/>
      </vt:variant>
      <vt:variant>
        <vt:i4>7143545</vt:i4>
      </vt:variant>
      <vt:variant>
        <vt:i4>9</vt:i4>
      </vt:variant>
      <vt:variant>
        <vt:i4>0</vt:i4>
      </vt:variant>
      <vt:variant>
        <vt:i4>5</vt:i4>
      </vt:variant>
      <vt:variant>
        <vt:lpwstr>http://www.hamiltoncommunityfoundation.ca/</vt:lpwstr>
      </vt:variant>
      <vt:variant>
        <vt:lpwstr/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http://hamiltoncommunityfoundation.ca/grants/grant/abacus-advancing-post-secondary-access/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http://hamiltoncommunityfoundation.ca/?s=sponsorship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https://www.hamiltoncommunityfoundation.ca/wp-content/uploads/2019/01/Description-of-4-Pillars-for-Grantees-Rev-Jan-9-2019.pdf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</dc:title>
  <dc:subject/>
  <dc:creator>May Wong</dc:creator>
  <cp:keywords/>
  <cp:lastModifiedBy>Tracy Varcoe</cp:lastModifiedBy>
  <cp:revision>2</cp:revision>
  <cp:lastPrinted>2015-08-07T14:57:00Z</cp:lastPrinted>
  <dcterms:created xsi:type="dcterms:W3CDTF">2019-01-15T14:11:00Z</dcterms:created>
  <dcterms:modified xsi:type="dcterms:W3CDTF">2019-01-15T14:11:00Z</dcterms:modified>
</cp:coreProperties>
</file>